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212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1618"/>
      </w:tblGrid>
      <w:tr w14:paraId="72769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vAlign w:val="center"/>
          </w:tcPr>
          <w:p w14:paraId="41847094">
            <w:pPr>
              <w:pStyle w:val="19"/>
              <w:framePr w:wrap="notBeside" w:vAnchor="page" w:hAnchor="page" w:x="1372" w:y="568"/>
              <w:tabs>
                <w:tab w:val="clear" w:pos="4153"/>
                <w:tab w:val="clear" w:pos="8306"/>
              </w:tabs>
              <w:spacing w:line="240" w:lineRule="auto"/>
              <w:jc w:val="both"/>
              <w:rPr>
                <w:rFonts w:ascii="Times New Roman" w:hAnsi="Times New Roman" w:eastAsia="黑体"/>
                <w:b/>
                <w:bCs/>
                <w:sz w:val="21"/>
                <w:szCs w:val="21"/>
              </w:rPr>
            </w:pPr>
            <w:r>
              <w:rPr>
                <w:rFonts w:hint="eastAsia" w:ascii="Times New Roman" w:hAnsi="Times New Roman" w:eastAsia="黑体"/>
                <w:b/>
                <w:bCs/>
                <w:sz w:val="21"/>
                <w:szCs w:val="21"/>
              </w:rPr>
              <w:t>ICS</w:t>
            </w:r>
          </w:p>
        </w:tc>
        <w:tc>
          <w:tcPr>
            <w:tcW w:w="1618" w:type="dxa"/>
            <w:vAlign w:val="center"/>
          </w:tcPr>
          <w:p w14:paraId="10DFBD87">
            <w:pPr>
              <w:pStyle w:val="19"/>
              <w:framePr w:wrap="notBeside" w:vAnchor="page" w:hAnchor="page" w:x="1372" w:y="568"/>
              <w:tabs>
                <w:tab w:val="clear" w:pos="4153"/>
                <w:tab w:val="clear" w:pos="8306"/>
              </w:tabs>
              <w:spacing w:line="240" w:lineRule="auto"/>
              <w:jc w:val="both"/>
              <w:rPr>
                <w:rFonts w:ascii="Times New Roman" w:hAnsi="Times New Roman" w:eastAsia="黑体"/>
                <w:sz w:val="21"/>
                <w:szCs w:val="21"/>
              </w:rPr>
            </w:pPr>
            <w:r>
              <w:rPr>
                <w:rFonts w:hint="eastAsia" w:ascii="Times New Roman" w:hAnsi="Times New Roman" w:eastAsia="黑体"/>
                <w:sz w:val="21"/>
                <w:szCs w:val="21"/>
              </w:rPr>
              <w:t>27.120.20</w:t>
            </w:r>
          </w:p>
        </w:tc>
      </w:tr>
      <w:tr w14:paraId="3E5B0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vAlign w:val="center"/>
          </w:tcPr>
          <w:p w14:paraId="4B68D1EF">
            <w:pPr>
              <w:pStyle w:val="19"/>
              <w:framePr w:wrap="notBeside" w:vAnchor="page" w:hAnchor="page" w:x="1372" w:y="568"/>
              <w:tabs>
                <w:tab w:val="clear" w:pos="4153"/>
                <w:tab w:val="clear" w:pos="8306"/>
              </w:tabs>
              <w:spacing w:line="240" w:lineRule="auto"/>
              <w:jc w:val="both"/>
              <w:rPr>
                <w:rFonts w:ascii="Times New Roman" w:hAnsi="Times New Roman" w:eastAsia="黑体"/>
                <w:b/>
                <w:bCs/>
                <w:sz w:val="21"/>
                <w:szCs w:val="21"/>
              </w:rPr>
            </w:pPr>
            <w:r>
              <w:rPr>
                <w:rFonts w:ascii="Times New Roman" w:hAnsi="Times New Roman" w:eastAsia="黑体"/>
                <w:b/>
                <w:bCs/>
                <w:sz w:val="21"/>
                <w:szCs w:val="21"/>
              </w:rPr>
              <w:t>CCS</w:t>
            </w:r>
          </w:p>
        </w:tc>
        <w:tc>
          <w:tcPr>
            <w:tcW w:w="1618" w:type="dxa"/>
            <w:vAlign w:val="center"/>
          </w:tcPr>
          <w:p w14:paraId="0F4AA9A6">
            <w:pPr>
              <w:pStyle w:val="19"/>
              <w:framePr w:wrap="notBeside" w:vAnchor="page" w:hAnchor="page" w:x="1372" w:y="568"/>
              <w:tabs>
                <w:tab w:val="clear" w:pos="4153"/>
                <w:tab w:val="clear" w:pos="8306"/>
              </w:tabs>
              <w:spacing w:line="240" w:lineRule="auto"/>
              <w:jc w:val="both"/>
              <w:rPr>
                <w:rFonts w:ascii="Times New Roman" w:hAnsi="Times New Roman" w:eastAsia="黑体"/>
                <w:sz w:val="21"/>
                <w:szCs w:val="21"/>
              </w:rPr>
            </w:pPr>
            <w:r>
              <w:rPr>
                <w:rFonts w:hint="eastAsia" w:ascii="Times New Roman" w:hAnsi="Times New Roman" w:eastAsia="黑体"/>
                <w:sz w:val="21"/>
                <w:szCs w:val="21"/>
              </w:rPr>
              <w:t>F 65</w:t>
            </w:r>
          </w:p>
        </w:tc>
      </w:tr>
    </w:tbl>
    <w:tbl>
      <w:tblPr>
        <w:tblStyle w:val="29"/>
        <w:tblpPr w:leftFromText="181" w:rightFromText="181" w:vertAnchor="text" w:horzAnchor="margin" w:tblpX="3403" w:tblpY="579"/>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954"/>
      </w:tblGrid>
      <w:tr w14:paraId="79C8329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954" w:type="dxa"/>
          </w:tcPr>
          <w:p w14:paraId="4537691C">
            <w:pPr>
              <w:pStyle w:val="51"/>
              <w:framePr w:w="0" w:hRule="auto" w:wrap="auto" w:vAnchor="margin" w:hAnchor="text" w:xAlign="left" w:yAlign="inline"/>
              <w:rPr>
                <w:rFonts w:hint="eastAsia" w:ascii="宋体" w:hAnsi="宋体"/>
                <w:w w:val="100"/>
                <w:sz w:val="28"/>
                <w:szCs w:val="28"/>
              </w:rPr>
            </w:pPr>
            <w:bookmarkStart w:id="0" w:name="_Hlk26473981"/>
            <w:r>
              <w:rPr>
                <w:rFonts w:hint="eastAsia"/>
                <w:w w:val="100"/>
              </w:rPr>
              <w:t>T</w:t>
            </w:r>
            <w:r>
              <w:rPr>
                <w:w w:val="100"/>
              </w:rPr>
              <w:t>/</w:t>
            </w:r>
            <w:r>
              <w:rPr>
                <w:w w:val="100"/>
                <w:sz w:val="21"/>
                <w:szCs w:val="21"/>
              </w:rPr>
              <w:t xml:space="preserve"> </w:t>
            </w:r>
            <w:bookmarkStart w:id="1" w:name="c1"/>
            <w:r>
              <w:rPr>
                <w:w w:val="100"/>
              </w:rPr>
              <w:fldChar w:fldCharType="begin">
                <w:ffData>
                  <w:name w:val="c1"/>
                  <w:enabled/>
                  <w:calcOnExit w:val="0"/>
                  <w:textInput>
                    <w:default w:val="CNS"/>
                    <w:maxLength w:val="7"/>
                  </w:textInput>
                </w:ffData>
              </w:fldChar>
            </w:r>
            <w:r>
              <w:rPr>
                <w:w w:val="100"/>
              </w:rPr>
              <w:instrText xml:space="preserve">FORMTEXT</w:instrText>
            </w:r>
            <w:r>
              <w:rPr>
                <w:w w:val="100"/>
              </w:rPr>
              <w:fldChar w:fldCharType="separate"/>
            </w:r>
            <w:r>
              <w:rPr>
                <w:w w:val="100"/>
              </w:rPr>
              <w:t>CNS</w:t>
            </w:r>
            <w:r>
              <w:rPr>
                <w:w w:val="100"/>
              </w:rPr>
              <w:fldChar w:fldCharType="end"/>
            </w:r>
            <w:bookmarkEnd w:id="1"/>
          </w:p>
        </w:tc>
      </w:tr>
    </w:tbl>
    <w:p w14:paraId="10496F0D">
      <w:pPr>
        <w:pStyle w:val="52"/>
        <w:framePr w:w="9639" w:h="624" w:hRule="exact" w:hSpace="181" w:vSpace="181" w:wrap="around" w:hAnchor="page" w:x="1305" w:y="2269"/>
        <w:rPr>
          <w:rFonts w:hint="eastAsia" w:ascii="黑体" w:hAnsi="黑体" w:eastAsia="黑体"/>
          <w:b w:val="0"/>
          <w:bCs w:val="0"/>
          <w:w w:val="100"/>
          <w:sz w:val="48"/>
          <w:szCs w:val="48"/>
        </w:rPr>
      </w:pPr>
      <w:bookmarkStart w:id="2" w:name="c2"/>
      <w:r>
        <w:rPr>
          <w:rFonts w:hint="eastAsia" w:ascii="黑体" w:eastAsia="黑体"/>
          <w:b w:val="0"/>
          <w:w w:val="100"/>
          <w:sz w:val="48"/>
        </w:rPr>
        <w:fldChar w:fldCharType="begin">
          <w:ffData>
            <w:name w:val="c2"/>
            <w:enabled/>
            <w:calcOnExit w:val="0"/>
            <w:textInput>
              <w:default w:val="团体标准"/>
            </w:textInput>
          </w:ffData>
        </w:fldChar>
      </w:r>
      <w:r>
        <w:rPr>
          <w:rFonts w:hint="eastAsia" w:ascii="黑体" w:eastAsia="黑体"/>
          <w:b w:val="0"/>
          <w:w w:val="100"/>
          <w:sz w:val="48"/>
        </w:rPr>
        <w:instrText xml:space="preserve">FORMTEXT</w:instrText>
      </w:r>
      <w:r>
        <w:rPr>
          <w:rFonts w:hint="eastAsia" w:ascii="黑体" w:eastAsia="黑体"/>
          <w:b w:val="0"/>
          <w:w w:val="100"/>
          <w:sz w:val="48"/>
        </w:rPr>
        <w:fldChar w:fldCharType="separate"/>
      </w:r>
      <w:r>
        <w:rPr>
          <w:rFonts w:hint="eastAsia" w:ascii="黑体" w:eastAsia="黑体"/>
          <w:b w:val="0"/>
          <w:w w:val="100"/>
          <w:sz w:val="48"/>
        </w:rPr>
        <w:t>团体标准</w:t>
      </w:r>
      <w:r>
        <w:rPr>
          <w:rFonts w:hint="eastAsia" w:ascii="黑体" w:eastAsia="黑体"/>
          <w:b w:val="0"/>
          <w:w w:val="100"/>
          <w:sz w:val="48"/>
        </w:rPr>
        <w:fldChar w:fldCharType="end"/>
      </w:r>
      <w:bookmarkEnd w:id="2"/>
    </w:p>
    <w:bookmarkEnd w:id="0"/>
    <w:p w14:paraId="6C35EF01">
      <w:pPr>
        <w:pStyle w:val="197"/>
        <w:framePr/>
      </w:pPr>
      <w:r>
        <w:rPr>
          <w:rFonts w:hint="eastAsia" w:ascii="Times New Roman"/>
          <w:b/>
          <w:bCs w:val="0"/>
        </w:rPr>
        <w:t>T</w:t>
      </w:r>
      <w:r>
        <w:rPr>
          <w:rFonts w:ascii="Times New Roman"/>
          <w:b/>
          <w:bCs w:val="0"/>
        </w:rPr>
        <w:t>/</w:t>
      </w:r>
      <w:r>
        <w:rPr>
          <w:rFonts w:hint="eastAsia" w:ascii="Times New Roman"/>
          <w:b/>
          <w:bCs w:val="0"/>
        </w:rPr>
        <w:t>CNS</w:t>
      </w:r>
      <w:r>
        <w:rPr>
          <w:rFonts w:hint="eastAsia" w:ascii="Times New Roman"/>
          <w:b/>
          <w:bCs w:val="0"/>
          <w:vertAlign w:val="subscript"/>
        </w:rPr>
        <w:t xml:space="preserve"> </w:t>
      </w:r>
      <w:r>
        <w:rPr>
          <w:rFonts w:hint="eastAsia" w:ascii="Times New Roman"/>
          <w:b/>
          <w:bCs w:val="0"/>
        </w:rPr>
        <w:t>XX</w:t>
      </w:r>
      <w:r>
        <w:rPr>
          <w:vertAlign w:val="subscript"/>
        </w:rPr>
        <w:t xml:space="preserve"> </w:t>
      </w:r>
      <w:r>
        <w:fldChar w:fldCharType="begin">
          <w:ffData>
            <w:name w:val="NSTD_CODE_F"/>
            <w:enabled/>
            <w:calcOnExit w:val="0"/>
            <w:textInput>
              <w:default w:val="XXXX"/>
            </w:textInput>
          </w:ffData>
        </w:fldChar>
      </w:r>
      <w:bookmarkStart w:id="3" w:name="NSTD_CODE_F"/>
      <w:r>
        <w:instrText xml:space="preserve"> FORMTEXT </w:instrText>
      </w:r>
      <w:r>
        <w:fldChar w:fldCharType="separate"/>
      </w:r>
      <w:r>
        <w:t>XXX</w:t>
      </w:r>
      <w:r>
        <w:fldChar w:fldCharType="end"/>
      </w:r>
      <w:bookmarkEnd w:id="3"/>
      <w:r>
        <w:rPr>
          <w:rFonts w:hAnsi="黑体"/>
        </w:rPr>
        <w:t>—</w:t>
      </w:r>
      <w:r>
        <w:fldChar w:fldCharType="begin">
          <w:ffData>
            <w:name w:val="NSTD_CODE_B"/>
            <w:enabled/>
            <w:calcOnExit w:val="0"/>
            <w:textInput>
              <w:default w:val="XXXX"/>
            </w:textInput>
          </w:ffData>
        </w:fldChar>
      </w:r>
      <w:bookmarkStart w:id="4" w:name="NSTD_CODE_B"/>
      <w:r>
        <w:instrText xml:space="preserve"> FORMTEXT </w:instrText>
      </w:r>
      <w:r>
        <w:fldChar w:fldCharType="separate"/>
      </w:r>
      <w:r>
        <w:t>XXXX</w:t>
      </w:r>
      <w:r>
        <w:fldChar w:fldCharType="end"/>
      </w:r>
      <w:bookmarkEnd w:id="4"/>
    </w:p>
    <w:p w14:paraId="6C1EFCC9">
      <w:pPr>
        <w:pStyle w:val="198"/>
        <w:framePr/>
        <w:rPr>
          <w:rFonts w:hint="eastAsia" w:hAnsi="黑体"/>
        </w:rPr>
      </w:pPr>
      <w:r>
        <w:rPr>
          <w:rFonts w:hint="eastAsia" w:hAnsi="黑体"/>
        </w:rPr>
        <w:t>代替</w:t>
      </w:r>
      <w:r>
        <w:rPr>
          <w:rFonts w:hint="eastAsia" w:ascii="Times New Roman"/>
          <w:b/>
          <w:bCs w:val="0"/>
        </w:rPr>
        <w:t>T</w:t>
      </w:r>
      <w:r>
        <w:rPr>
          <w:rFonts w:ascii="Times New Roman"/>
          <w:b/>
          <w:bCs w:val="0"/>
        </w:rPr>
        <w:t>/CN</w:t>
      </w:r>
      <w:r>
        <w:rPr>
          <w:rFonts w:hint="eastAsia" w:ascii="Times New Roman"/>
          <w:b/>
          <w:bCs w:val="0"/>
        </w:rPr>
        <w:t>S</w:t>
      </w:r>
      <w:r>
        <w:rPr>
          <w:rFonts w:ascii="Times New Roman"/>
          <w:b/>
          <w:bCs w:val="0"/>
        </w:rPr>
        <w:t xml:space="preserve"> XX</w:t>
      </w:r>
      <w:r>
        <w:rPr>
          <w:rFonts w:hint="eastAsia" w:hAnsi="黑体"/>
        </w:rPr>
        <w:t xml:space="preserve"> XXX—XXXX</w:t>
      </w:r>
    </w:p>
    <w:p w14:paraId="7BD49BEF">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66F15D7">
      <w:pPr>
        <w:pStyle w:val="52"/>
        <w:framePr w:w="9639" w:h="6976" w:hRule="exact" w:hSpace="0" w:vSpace="0" w:wrap="around" w:hAnchor="page" w:y="6408"/>
        <w:jc w:val="center"/>
        <w:rPr>
          <w:rFonts w:hint="eastAsia" w:ascii="黑体" w:hAnsi="黑体" w:eastAsia="黑体"/>
          <w:b w:val="0"/>
          <w:bCs w:val="0"/>
          <w:w w:val="100"/>
        </w:rPr>
      </w:pPr>
    </w:p>
    <w:p w14:paraId="0EA58FE2">
      <w:pPr>
        <w:pStyle w:val="199"/>
        <w:framePr w:h="6974" w:hRule="exact" w:wrap="around" w:x="1419" w:anchorLock="1"/>
        <w:rPr>
          <w:rFonts w:hint="eastAsia"/>
        </w:rPr>
      </w:pPr>
      <w:r>
        <w:fldChar w:fldCharType="begin">
          <w:ffData>
            <w:name w:val="CSTD_NAME"/>
            <w:enabled/>
            <w:calcOnExit w:val="0"/>
            <w:textInput>
              <w:default w:val="点击此处添加标准名称"/>
            </w:textInput>
          </w:ffData>
        </w:fldChar>
      </w:r>
      <w:r>
        <w:instrText xml:space="preserve"> FORMTEXT </w:instrText>
      </w:r>
      <w:r>
        <w:fldChar w:fldCharType="separate"/>
      </w:r>
      <w:r>
        <w:rPr>
          <w:rFonts w:hint="eastAsia"/>
        </w:rPr>
        <w:t>高温气冷堆核动力厂堆内构件安装及验收技术规程</w:t>
      </w:r>
      <w:r>
        <w:fldChar w:fldCharType="end"/>
      </w:r>
    </w:p>
    <w:p w14:paraId="008D7C1D">
      <w:pPr>
        <w:framePr w:w="9639" w:h="6974" w:hRule="exact" w:wrap="around" w:vAnchor="page" w:hAnchor="page" w:x="1419" w:y="6408" w:anchorLock="1"/>
        <w:ind w:left="-1418"/>
      </w:pPr>
    </w:p>
    <w:p w14:paraId="4EDF220D">
      <w:pPr>
        <w:pStyle w:val="127"/>
        <w:framePr w:w="9639" w:h="6974" w:hRule="exact" w:wrap="around" w:vAnchor="page" w:hAnchor="page" w:x="1419" w:y="6408" w:anchorLock="1"/>
        <w:textAlignment w:val="bottom"/>
        <w:rPr>
          <w:rFonts w:eastAsia="黑体"/>
          <w:szCs w:val="28"/>
        </w:rPr>
      </w:pPr>
      <w:r>
        <w:rPr>
          <w:rFonts w:eastAsia="黑体"/>
          <w:b/>
          <w:bCs/>
          <w:szCs w:val="28"/>
        </w:rPr>
        <w:t>Technical regulations for the installation and acceptance of core support structures in high-temperature gas</w:t>
      </w:r>
      <w:r>
        <w:rPr>
          <w:rFonts w:hint="eastAsia" w:eastAsia="黑体"/>
          <w:b/>
          <w:bCs/>
          <w:szCs w:val="28"/>
          <w:lang w:val="en-US" w:eastAsia="zh-CN"/>
        </w:rPr>
        <w:t xml:space="preserve"> </w:t>
      </w:r>
      <w:bookmarkStart w:id="381" w:name="_GoBack"/>
      <w:bookmarkEnd w:id="381"/>
      <w:r>
        <w:rPr>
          <w:rFonts w:eastAsia="黑体"/>
          <w:b/>
          <w:bCs/>
          <w:szCs w:val="28"/>
        </w:rPr>
        <w:t>cooled reactor nuclear power plants</w:t>
      </w:r>
    </w:p>
    <w:p w14:paraId="612A2B6E">
      <w:pPr>
        <w:framePr w:w="9639" w:h="6974" w:hRule="exact" w:wrap="around" w:vAnchor="page" w:hAnchor="page" w:x="1419" w:y="6408" w:anchorLock="1"/>
        <w:spacing w:line="760" w:lineRule="exact"/>
        <w:ind w:left="-1418"/>
      </w:pPr>
    </w:p>
    <w:p w14:paraId="29D1170B">
      <w:pPr>
        <w:pStyle w:val="127"/>
        <w:framePr w:w="9639" w:h="6974" w:hRule="exact" w:wrap="around" w:vAnchor="page" w:hAnchor="page" w:x="1419" w:y="6408" w:anchorLock="1"/>
        <w:textAlignment w:val="bottom"/>
        <w:rPr>
          <w:rFonts w:eastAsia="黑体"/>
          <w:szCs w:val="28"/>
        </w:rPr>
      </w:pPr>
    </w:p>
    <w:p w14:paraId="556DD30B">
      <w:pPr>
        <w:pStyle w:val="127"/>
        <w:framePr w:w="9639" w:h="6974" w:hRule="exact" w:wrap="around" w:vAnchor="page" w:hAnchor="page" w:x="1419" w:y="6408" w:anchorLock="1"/>
        <w:spacing w:before="440" w:after="160"/>
        <w:textAlignment w:val="bottom"/>
        <w:rPr>
          <w:sz w:val="24"/>
          <w:szCs w:val="28"/>
        </w:rPr>
      </w:pPr>
      <w:bookmarkStart w:id="5" w:name="下拉1"/>
      <w:r>
        <w:rPr>
          <w:rFonts w:hint="eastAsia"/>
          <w:sz w:val="24"/>
          <w:szCs w:val="28"/>
        </w:rPr>
        <w:t>征求意见稿</w:t>
      </w: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FORMDROPDOWN</w:instrText>
      </w:r>
      <w:r>
        <w:rPr>
          <w:sz w:val="24"/>
          <w:szCs w:val="28"/>
        </w:rPr>
        <w:fldChar w:fldCharType="separate"/>
      </w:r>
      <w:r>
        <w:rPr>
          <w:sz w:val="24"/>
          <w:szCs w:val="28"/>
        </w:rPr>
        <w:fldChar w:fldCharType="end"/>
      </w:r>
      <w:bookmarkEnd w:id="5"/>
    </w:p>
    <w:p w14:paraId="714622DC">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default w:val="（本草案完成时间：2026.6.30）"/>
            </w:textInput>
          </w:ffData>
        </w:fldChar>
      </w:r>
      <w:bookmarkStart w:id="6" w:name="CMPLSH_DATE"/>
      <w:r>
        <w:rPr>
          <w:sz w:val="21"/>
          <w:szCs w:val="28"/>
        </w:rPr>
        <w:instrText xml:space="preserve"> </w:instrText>
      </w:r>
      <w:r>
        <w:rPr>
          <w:rFonts w:hint="eastAsia"/>
          <w:sz w:val="21"/>
          <w:szCs w:val="28"/>
        </w:rPr>
        <w:instrText xml:space="preserve">FORMTEXT</w:instrText>
      </w:r>
      <w:r>
        <w:rPr>
          <w:sz w:val="21"/>
          <w:szCs w:val="28"/>
        </w:rPr>
        <w:instrText xml:space="preserve"> </w:instrText>
      </w:r>
      <w:r>
        <w:rPr>
          <w:sz w:val="21"/>
          <w:szCs w:val="28"/>
        </w:rPr>
        <w:fldChar w:fldCharType="separate"/>
      </w:r>
      <w:r>
        <w:rPr>
          <w:rFonts w:hint="eastAsia"/>
          <w:sz w:val="21"/>
          <w:szCs w:val="28"/>
        </w:rPr>
        <w:t>（本草案完成时间：2026.6.30）</w:t>
      </w:r>
      <w:r>
        <w:rPr>
          <w:sz w:val="21"/>
          <w:szCs w:val="28"/>
        </w:rPr>
        <w:fldChar w:fldCharType="end"/>
      </w:r>
      <w:bookmarkEnd w:id="6"/>
    </w:p>
    <w:p w14:paraId="2AB45845">
      <w:pPr>
        <w:pStyle w:val="127"/>
        <w:framePr w:w="9639" w:h="6974" w:hRule="exact" w:wrap="around" w:vAnchor="page" w:hAnchor="page" w:x="1419" w:y="6408" w:anchorLock="1"/>
        <w:spacing w:before="720" w:beforeLines="300" w:after="72" w:afterLines="30" w:line="240" w:lineRule="auto"/>
        <w:textAlignment w:val="bottom"/>
        <w:rPr>
          <w:b/>
          <w:sz w:val="21"/>
          <w:szCs w:val="28"/>
        </w:rPr>
      </w:pPr>
    </w:p>
    <w:p w14:paraId="63AB1CC4">
      <w:pPr>
        <w:pStyle w:val="195"/>
        <w:framePr w:wrap="around" w:y="14176"/>
      </w:pPr>
      <w:r>
        <w:rPr>
          <w:rFonts w:ascii="黑体"/>
        </w:rPr>
        <w:fldChar w:fldCharType="begin">
          <w:ffData>
            <w:name w:val="PLSH_DATE_Y"/>
            <w:enabled/>
            <w:calcOnExit w:val="0"/>
            <w:textInput>
              <w:default w:val="XXXX"/>
              <w:maxLength w:val="4"/>
            </w:textInput>
          </w:ffData>
        </w:fldChar>
      </w:r>
      <w:bookmarkStart w:id="7"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7"/>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8"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9"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hint="eastAsia"/>
        </w:rPr>
        <w:t>发布</w:t>
      </w:r>
    </w:p>
    <w:p w14:paraId="367B72E8">
      <w:pPr>
        <w:pStyle w:val="196"/>
        <w:framePr w:wrap="around" w:y="14176"/>
      </w:pPr>
      <w:r>
        <w:rPr>
          <w:rFonts w:ascii="黑体"/>
        </w:rPr>
        <w:fldChar w:fldCharType="begin">
          <w:ffData>
            <w:name w:val="CROT_DATE_Y"/>
            <w:enabled/>
            <w:calcOnExit w:val="0"/>
            <w:textInput>
              <w:default w:val="XXXX"/>
              <w:maxLength w:val="4"/>
            </w:textInput>
          </w:ffData>
        </w:fldChar>
      </w:r>
      <w:bookmarkStart w:id="10"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1"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2"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实施</w:t>
      </w:r>
    </w:p>
    <w:p w14:paraId="38F3F0BE">
      <w:pPr>
        <w:pStyle w:val="153"/>
        <w:framePr w:h="584" w:hRule="exact" w:hSpace="181" w:vSpace="181" w:wrap="around" w:y="15027"/>
        <w:rPr>
          <w:rFonts w:hint="eastAsia" w:hAnsi="黑体"/>
        </w:rPr>
      </w:pPr>
      <w:bookmarkStart w:id="13" w:name="fm"/>
      <w:r>
        <w:rPr>
          <w:rFonts w:hint="eastAsia" w:hAnsi="黑体"/>
          <w:w w:val="100"/>
          <w:sz w:val="28"/>
        </w:rPr>
        <w:fldChar w:fldCharType="begin">
          <w:ffData>
            <w:name w:val="fm"/>
            <w:enabled/>
            <w:calcOnExit w:val="0"/>
            <w:textInput>
              <w:default w:val="中国核学会"/>
            </w:textInput>
          </w:ffData>
        </w:fldChar>
      </w:r>
      <w:r>
        <w:rPr>
          <w:rFonts w:hint="eastAsia" w:hAnsi="黑体"/>
          <w:w w:val="100"/>
          <w:sz w:val="28"/>
        </w:rPr>
        <w:instrText xml:space="preserve">FORMTEXT</w:instrText>
      </w:r>
      <w:r>
        <w:rPr>
          <w:rFonts w:hint="eastAsia" w:hAnsi="黑体"/>
          <w:w w:val="100"/>
          <w:sz w:val="28"/>
        </w:rPr>
        <w:fldChar w:fldCharType="separate"/>
      </w:r>
      <w:r>
        <w:rPr>
          <w:rFonts w:hint="eastAsia" w:hAnsi="黑体"/>
          <w:w w:val="100"/>
          <w:sz w:val="28"/>
        </w:rPr>
        <w:t>中国核学会</w:t>
      </w:r>
      <w:r>
        <w:rPr>
          <w:rFonts w:hint="eastAsia" w:hAnsi="黑体"/>
          <w:w w:val="100"/>
          <w:sz w:val="28"/>
        </w:rPr>
        <w:fldChar w:fldCharType="end"/>
      </w:r>
      <w:bookmarkEnd w:id="13"/>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0167874A">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BBDC253">
      <w:pPr>
        <w:pStyle w:val="93"/>
        <w:spacing w:after="468"/>
      </w:pPr>
      <w:bookmarkStart w:id="14" w:name="BookMark1"/>
      <w:bookmarkStart w:id="15" w:name="_Toc126746798"/>
      <w:bookmarkStart w:id="16" w:name="_Toc126746499"/>
      <w:bookmarkStart w:id="17" w:name="_Toc201757084"/>
      <w:bookmarkStart w:id="18" w:name="_Toc202774740"/>
      <w:r>
        <w:rPr>
          <w:rFonts w:hint="eastAsia"/>
          <w:spacing w:val="320"/>
        </w:rPr>
        <w:t>目</w:t>
      </w:r>
      <w:r>
        <w:rPr>
          <w:rFonts w:hint="eastAsia"/>
        </w:rPr>
        <w:t>次</w:t>
      </w:r>
    </w:p>
    <w:p w14:paraId="0054A609">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"_Toc234677804" </w:instrText>
      </w:r>
      <w:r>
        <w:fldChar w:fldCharType="separate"/>
      </w:r>
      <w:r>
        <w:rPr>
          <w:rStyle w:val="34"/>
          <w:spacing w:val="320"/>
        </w:rPr>
        <w:t>前</w:t>
      </w:r>
      <w:r>
        <w:rPr>
          <w:rStyle w:val="34"/>
        </w:rPr>
        <w:t>言</w:t>
      </w:r>
      <w:r>
        <w:rPr>
          <w:rFonts w:hint="eastAsia"/>
        </w:rPr>
        <w:tab/>
      </w:r>
      <w:r>
        <w:rPr>
          <w:rFonts w:hint="eastAsia"/>
        </w:rPr>
        <w:fldChar w:fldCharType="begin"/>
      </w:r>
      <w:r>
        <w:rPr>
          <w:rFonts w:hint="eastAsia"/>
        </w:rPr>
        <w:instrText xml:space="preserve"> </w:instrText>
      </w:r>
      <w:r>
        <w:instrText xml:space="preserve">PAGEREF _Toc234677804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4A7257AC">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"_Toc234677805" </w:instrText>
      </w:r>
      <w:r>
        <w:fldChar w:fldCharType="separate"/>
      </w:r>
      <w:r>
        <w:rPr>
          <w:rStyle w:val="34"/>
        </w:rPr>
        <w:t>1 范围</w:t>
      </w:r>
      <w:r>
        <w:rPr>
          <w:rFonts w:hint="eastAsia"/>
        </w:rPr>
        <w:tab/>
      </w:r>
      <w:r>
        <w:rPr>
          <w:rFonts w:hint="eastAsia"/>
        </w:rPr>
        <w:fldChar w:fldCharType="begin"/>
      </w:r>
      <w:r>
        <w:rPr>
          <w:rFonts w:hint="eastAsia"/>
        </w:rPr>
        <w:instrText xml:space="preserve"> </w:instrText>
      </w:r>
      <w:r>
        <w:instrText xml:space="preserve">PAGEREF _Toc234677805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F9A485D">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"_Toc234677806" </w:instrText>
      </w:r>
      <w:r>
        <w:fldChar w:fldCharType="separate"/>
      </w:r>
      <w:r>
        <w:rPr>
          <w:rStyle w:val="34"/>
        </w:rPr>
        <w:t>2 规范性引用文件</w:t>
      </w:r>
      <w:r>
        <w:rPr>
          <w:rFonts w:hint="eastAsia"/>
        </w:rPr>
        <w:tab/>
      </w:r>
      <w:r>
        <w:rPr>
          <w:rFonts w:hint="eastAsia"/>
        </w:rPr>
        <w:fldChar w:fldCharType="begin"/>
      </w:r>
      <w:r>
        <w:rPr>
          <w:rFonts w:hint="eastAsia"/>
        </w:rPr>
        <w:instrText xml:space="preserve"> </w:instrText>
      </w:r>
      <w:r>
        <w:instrText xml:space="preserve">PAGEREF _Toc234677806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6FF1020A">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"_Toc234677807" </w:instrText>
      </w:r>
      <w:r>
        <w:fldChar w:fldCharType="separate"/>
      </w:r>
      <w:r>
        <w:rPr>
          <w:rStyle w:val="34"/>
        </w:rPr>
        <w:t>3 术语和定义</w:t>
      </w:r>
      <w:r>
        <w:rPr>
          <w:rFonts w:hint="eastAsia"/>
        </w:rPr>
        <w:tab/>
      </w:r>
      <w:r>
        <w:rPr>
          <w:rFonts w:hint="eastAsia"/>
        </w:rPr>
        <w:fldChar w:fldCharType="begin"/>
      </w:r>
      <w:r>
        <w:rPr>
          <w:rFonts w:hint="eastAsia"/>
        </w:rPr>
        <w:instrText xml:space="preserve"> </w:instrText>
      </w:r>
      <w:r>
        <w:instrText xml:space="preserve">PAGEREF _Toc234677807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0BE83B1D">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"_Toc234677860" </w:instrText>
      </w:r>
      <w:r>
        <w:fldChar w:fldCharType="separate"/>
      </w:r>
      <w:r>
        <w:rPr>
          <w:rStyle w:val="34"/>
        </w:rPr>
        <w:t>4 一般要求</w:t>
      </w:r>
      <w:r>
        <w:rPr>
          <w:rFonts w:hint="eastAsia"/>
        </w:rPr>
        <w:tab/>
      </w:r>
      <w:r>
        <w:rPr>
          <w:rFonts w:hint="eastAsia"/>
        </w:rPr>
        <w:fldChar w:fldCharType="begin"/>
      </w:r>
      <w:r>
        <w:rPr>
          <w:rFonts w:hint="eastAsia"/>
        </w:rPr>
        <w:instrText xml:space="preserve"> </w:instrText>
      </w:r>
      <w:r>
        <w:instrText xml:space="preserve">PAGEREF _Toc234677860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67307637">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"_Toc234677861" </w:instrText>
      </w:r>
      <w:r>
        <w:fldChar w:fldCharType="separate"/>
      </w:r>
      <w:r>
        <w:rPr>
          <w:rStyle w:val="34"/>
          <w14:scene3d w14:prst="orthographicFront">
            <w14:lightRig w14:rig="threePt" w14:dir="t">
              <w14:rot w14:lat="0" w14:lon="0" w14:rev="0"/>
            </w14:lightRig>
          </w14:scene3d>
        </w:rPr>
        <w:t>4.1</w:t>
      </w:r>
      <w:r>
        <w:rPr>
          <w:rStyle w:val="34"/>
        </w:rPr>
        <w:t xml:space="preserve"> 人员</w:t>
      </w:r>
      <w:r>
        <w:rPr>
          <w:rFonts w:hint="eastAsia"/>
        </w:rPr>
        <w:tab/>
      </w:r>
      <w:r>
        <w:rPr>
          <w:rFonts w:hint="eastAsia"/>
        </w:rPr>
        <w:fldChar w:fldCharType="begin"/>
      </w:r>
      <w:r>
        <w:rPr>
          <w:rFonts w:hint="eastAsia"/>
        </w:rPr>
        <w:instrText xml:space="preserve"> </w:instrText>
      </w:r>
      <w:r>
        <w:instrText xml:space="preserve">PAGEREF _Toc234677861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4933FC0A">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"_Toc234677862" </w:instrText>
      </w:r>
      <w:r>
        <w:fldChar w:fldCharType="separate"/>
      </w:r>
      <w:r>
        <w:rPr>
          <w:rStyle w:val="34"/>
          <w14:scene3d w14:prst="orthographicFront">
            <w14:lightRig w14:rig="threePt" w14:dir="t">
              <w14:rot w14:lat="0" w14:lon="0" w14:rev="0"/>
            </w14:lightRig>
          </w14:scene3d>
        </w:rPr>
        <w:t>4.2</w:t>
      </w:r>
      <w:r>
        <w:rPr>
          <w:rStyle w:val="34"/>
        </w:rPr>
        <w:t xml:space="preserve"> 文件</w:t>
      </w:r>
      <w:r>
        <w:rPr>
          <w:rFonts w:hint="eastAsia"/>
        </w:rPr>
        <w:tab/>
      </w:r>
      <w:r>
        <w:rPr>
          <w:rFonts w:hint="eastAsia"/>
        </w:rPr>
        <w:fldChar w:fldCharType="begin"/>
      </w:r>
      <w:r>
        <w:rPr>
          <w:rFonts w:hint="eastAsia"/>
        </w:rPr>
        <w:instrText xml:space="preserve"> </w:instrText>
      </w:r>
      <w:r>
        <w:instrText xml:space="preserve">PAGEREF _Toc234677862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6A58E039">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"_Toc234677863" </w:instrText>
      </w:r>
      <w:r>
        <w:fldChar w:fldCharType="separate"/>
      </w:r>
      <w:r>
        <w:rPr>
          <w:rStyle w:val="34"/>
          <w14:scene3d w14:prst="orthographicFront">
            <w14:lightRig w14:rig="threePt" w14:dir="t">
              <w14:rot w14:lat="0" w14:lon="0" w14:rev="0"/>
            </w14:lightRig>
          </w14:scene3d>
        </w:rPr>
        <w:t>4.3</w:t>
      </w:r>
      <w:r>
        <w:rPr>
          <w:rStyle w:val="34"/>
        </w:rPr>
        <w:t xml:space="preserve"> 工机具</w:t>
      </w:r>
      <w:r>
        <w:rPr>
          <w:rFonts w:hint="eastAsia"/>
        </w:rPr>
        <w:tab/>
      </w:r>
      <w:r>
        <w:rPr>
          <w:rFonts w:hint="eastAsia"/>
        </w:rPr>
        <w:fldChar w:fldCharType="begin"/>
      </w:r>
      <w:r>
        <w:rPr>
          <w:rFonts w:hint="eastAsia"/>
        </w:rPr>
        <w:instrText xml:space="preserve"> </w:instrText>
      </w:r>
      <w:r>
        <w:instrText xml:space="preserve">PAGEREF _Toc234677863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6E9EEDAE">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"_Toc234677864" </w:instrText>
      </w:r>
      <w:r>
        <w:fldChar w:fldCharType="separate"/>
      </w:r>
      <w:r>
        <w:rPr>
          <w:rStyle w:val="34"/>
          <w14:scene3d w14:prst="orthographicFront">
            <w14:lightRig w14:rig="threePt" w14:dir="t">
              <w14:rot w14:lat="0" w14:lon="0" w14:rev="0"/>
            </w14:lightRig>
          </w14:scene3d>
        </w:rPr>
        <w:t>4.4</w:t>
      </w:r>
      <w:r>
        <w:rPr>
          <w:rStyle w:val="34"/>
        </w:rPr>
        <w:t xml:space="preserve"> 环境</w:t>
      </w:r>
      <w:r>
        <w:rPr>
          <w:rFonts w:hint="eastAsia"/>
        </w:rPr>
        <w:tab/>
      </w:r>
      <w:r>
        <w:rPr>
          <w:rFonts w:hint="eastAsia"/>
        </w:rPr>
        <w:fldChar w:fldCharType="begin"/>
      </w:r>
      <w:r>
        <w:rPr>
          <w:rFonts w:hint="eastAsia"/>
        </w:rPr>
        <w:instrText xml:space="preserve"> </w:instrText>
      </w:r>
      <w:r>
        <w:instrText xml:space="preserve">PAGEREF _Toc234677864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62111988">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"_Toc234677865" </w:instrText>
      </w:r>
      <w:r>
        <w:fldChar w:fldCharType="separate"/>
      </w:r>
      <w:r>
        <w:rPr>
          <w:rStyle w:val="34"/>
          <w14:scene3d w14:prst="orthographicFront">
            <w14:lightRig w14:rig="threePt" w14:dir="t">
              <w14:rot w14:lat="0" w14:lon="0" w14:rev="0"/>
            </w14:lightRig>
          </w14:scene3d>
        </w:rPr>
        <w:t>4.5</w:t>
      </w:r>
      <w:r>
        <w:rPr>
          <w:rStyle w:val="34"/>
        </w:rPr>
        <w:t xml:space="preserve"> 安装前检查</w:t>
      </w:r>
      <w:r>
        <w:rPr>
          <w:rFonts w:hint="eastAsia"/>
        </w:rPr>
        <w:tab/>
      </w:r>
      <w:r>
        <w:rPr>
          <w:rFonts w:hint="eastAsia"/>
        </w:rPr>
        <w:fldChar w:fldCharType="begin"/>
      </w:r>
      <w:r>
        <w:rPr>
          <w:rFonts w:hint="eastAsia"/>
        </w:rPr>
        <w:instrText xml:space="preserve"> </w:instrText>
      </w:r>
      <w:r>
        <w:instrText xml:space="preserve">PAGEREF _Toc234677865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450D50D8">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"_Toc234677866" </w:instrText>
      </w:r>
      <w:r>
        <w:fldChar w:fldCharType="separate"/>
      </w:r>
      <w:r>
        <w:rPr>
          <w:rStyle w:val="34"/>
          <w14:scene3d w14:prst="orthographicFront">
            <w14:lightRig w14:rig="threePt" w14:dir="t">
              <w14:rot w14:lat="0" w14:lon="0" w14:rev="0"/>
            </w14:lightRig>
          </w14:scene3d>
        </w:rPr>
        <w:t>4.6</w:t>
      </w:r>
      <w:r>
        <w:rPr>
          <w:rStyle w:val="34"/>
        </w:rPr>
        <w:t xml:space="preserve"> 存放要求</w:t>
      </w:r>
      <w:r>
        <w:rPr>
          <w:rFonts w:hint="eastAsia"/>
        </w:rPr>
        <w:tab/>
      </w:r>
      <w:r>
        <w:rPr>
          <w:rFonts w:hint="eastAsia"/>
        </w:rPr>
        <w:fldChar w:fldCharType="begin"/>
      </w:r>
      <w:r>
        <w:rPr>
          <w:rFonts w:hint="eastAsia"/>
        </w:rPr>
        <w:instrText xml:space="preserve"> </w:instrText>
      </w:r>
      <w:r>
        <w:instrText xml:space="preserve">PAGEREF _Toc234677866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2AE35187">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"_Toc234677867" </w:instrText>
      </w:r>
      <w:r>
        <w:fldChar w:fldCharType="separate"/>
      </w:r>
      <w:r>
        <w:rPr>
          <w:rStyle w:val="34"/>
          <w14:scene3d w14:prst="orthographicFront">
            <w14:lightRig w14:rig="threePt" w14:dir="t">
              <w14:rot w14:lat="0" w14:lon="0" w14:rev="0"/>
            </w14:lightRig>
          </w14:scene3d>
        </w:rPr>
        <w:t>4.7</w:t>
      </w:r>
      <w:r>
        <w:rPr>
          <w:rStyle w:val="34"/>
        </w:rPr>
        <w:t xml:space="preserve"> 安装前清洗</w:t>
      </w:r>
      <w:r>
        <w:rPr>
          <w:rFonts w:hint="eastAsia"/>
        </w:rPr>
        <w:tab/>
      </w:r>
      <w:r>
        <w:rPr>
          <w:rFonts w:hint="eastAsia"/>
        </w:rPr>
        <w:fldChar w:fldCharType="begin"/>
      </w:r>
      <w:r>
        <w:rPr>
          <w:rFonts w:hint="eastAsia"/>
        </w:rPr>
        <w:instrText xml:space="preserve"> </w:instrText>
      </w:r>
      <w:r>
        <w:instrText xml:space="preserve">PAGEREF _Toc234677867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6DBB6076">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"_Toc234677868" </w:instrText>
      </w:r>
      <w:r>
        <w:fldChar w:fldCharType="separate"/>
      </w:r>
      <w:r>
        <w:rPr>
          <w:rStyle w:val="34"/>
          <w14:scene3d w14:prst="orthographicFront">
            <w14:lightRig w14:rig="threePt" w14:dir="t">
              <w14:rot w14:lat="0" w14:lon="0" w14:rev="0"/>
            </w14:lightRig>
          </w14:scene3d>
        </w:rPr>
        <w:t>4.8</w:t>
      </w:r>
      <w:r>
        <w:rPr>
          <w:rStyle w:val="34"/>
        </w:rPr>
        <w:t xml:space="preserve"> 石墨和碳堆芯支承结构的安装准备</w:t>
      </w:r>
      <w:r>
        <w:rPr>
          <w:rFonts w:hint="eastAsia"/>
        </w:rPr>
        <w:tab/>
      </w:r>
      <w:r>
        <w:rPr>
          <w:rFonts w:hint="eastAsia"/>
        </w:rPr>
        <w:fldChar w:fldCharType="begin"/>
      </w:r>
      <w:r>
        <w:rPr>
          <w:rFonts w:hint="eastAsia"/>
        </w:rPr>
        <w:instrText xml:space="preserve"> </w:instrText>
      </w:r>
      <w:r>
        <w:instrText xml:space="preserve">PAGEREF _Toc234677868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48708674">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"_Toc234677869" </w:instrText>
      </w:r>
      <w:r>
        <w:fldChar w:fldCharType="separate"/>
      </w:r>
      <w:r>
        <w:rPr>
          <w:rStyle w:val="34"/>
          <w14:scene3d w14:prst="orthographicFront">
            <w14:lightRig w14:rig="threePt" w14:dir="t">
              <w14:rot w14:lat="0" w14:lon="0" w14:rev="0"/>
            </w14:lightRig>
          </w14:scene3d>
        </w:rPr>
        <w:t>4.9</w:t>
      </w:r>
      <w:r>
        <w:rPr>
          <w:rStyle w:val="34"/>
        </w:rPr>
        <w:t xml:space="preserve"> 石墨、碳砖及箍紧带的预组装</w:t>
      </w:r>
      <w:r>
        <w:rPr>
          <w:rFonts w:hint="eastAsia"/>
        </w:rPr>
        <w:tab/>
      </w:r>
      <w:r>
        <w:rPr>
          <w:rFonts w:hint="eastAsia"/>
        </w:rPr>
        <w:fldChar w:fldCharType="begin"/>
      </w:r>
      <w:r>
        <w:rPr>
          <w:rFonts w:hint="eastAsia"/>
        </w:rPr>
        <w:instrText xml:space="preserve"> </w:instrText>
      </w:r>
      <w:r>
        <w:instrText xml:space="preserve">PAGEREF _Toc234677869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1FE2E616">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"_Toc234677870" </w:instrText>
      </w:r>
      <w:r>
        <w:fldChar w:fldCharType="separate"/>
      </w:r>
      <w:r>
        <w:rPr>
          <w:rStyle w:val="34"/>
          <w14:scene3d w14:prst="orthographicFront">
            <w14:lightRig w14:rig="threePt" w14:dir="t">
              <w14:rot w14:lat="0" w14:lon="0" w14:rev="0"/>
            </w14:lightRig>
          </w14:scene3d>
        </w:rPr>
        <w:t>4.10</w:t>
      </w:r>
      <w:r>
        <w:rPr>
          <w:rStyle w:val="34"/>
        </w:rPr>
        <w:t xml:space="preserve"> 堆芯支承结构安装前提条件</w:t>
      </w:r>
      <w:r>
        <w:rPr>
          <w:rFonts w:hint="eastAsia"/>
        </w:rPr>
        <w:tab/>
      </w:r>
      <w:r>
        <w:rPr>
          <w:rFonts w:hint="eastAsia"/>
        </w:rPr>
        <w:fldChar w:fldCharType="begin"/>
      </w:r>
      <w:r>
        <w:rPr>
          <w:rFonts w:hint="eastAsia"/>
        </w:rPr>
        <w:instrText xml:space="preserve"> </w:instrText>
      </w:r>
      <w:r>
        <w:instrText xml:space="preserve">PAGEREF _Toc234677870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5EA19A94">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"_Toc234677871" </w:instrText>
      </w:r>
      <w:r>
        <w:fldChar w:fldCharType="separate"/>
      </w:r>
      <w:r>
        <w:rPr>
          <w:rStyle w:val="34"/>
        </w:rPr>
        <w:t>5 场外预组装阶段的底部金属堆芯支承结构安装</w:t>
      </w:r>
      <w:r>
        <w:rPr>
          <w:rFonts w:hint="eastAsia"/>
        </w:rPr>
        <w:tab/>
      </w:r>
      <w:r>
        <w:rPr>
          <w:rFonts w:hint="eastAsia"/>
        </w:rPr>
        <w:fldChar w:fldCharType="begin"/>
      </w:r>
      <w:r>
        <w:rPr>
          <w:rFonts w:hint="eastAsia"/>
        </w:rPr>
        <w:instrText xml:space="preserve"> </w:instrText>
      </w:r>
      <w:r>
        <w:instrText xml:space="preserve">PAGEREF _Toc234677871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78B40FA1">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"_Toc234677872" </w:instrText>
      </w:r>
      <w:r>
        <w:fldChar w:fldCharType="separate"/>
      </w:r>
      <w:r>
        <w:rPr>
          <w:rStyle w:val="34"/>
          <w14:scene3d w14:prst="orthographicFront">
            <w14:lightRig w14:rig="threePt" w14:dir="t">
              <w14:rot w14:lat="0" w14:lon="0" w14:rev="0"/>
            </w14:lightRig>
          </w14:scene3d>
        </w:rPr>
        <w:t>5.1</w:t>
      </w:r>
      <w:r>
        <w:rPr>
          <w:rStyle w:val="34"/>
        </w:rPr>
        <w:t xml:space="preserve"> 安装先决条件</w:t>
      </w:r>
      <w:r>
        <w:rPr>
          <w:rFonts w:hint="eastAsia"/>
        </w:rPr>
        <w:tab/>
      </w:r>
      <w:r>
        <w:rPr>
          <w:rFonts w:hint="eastAsia"/>
        </w:rPr>
        <w:fldChar w:fldCharType="begin"/>
      </w:r>
      <w:r>
        <w:rPr>
          <w:rFonts w:hint="eastAsia"/>
        </w:rPr>
        <w:instrText xml:space="preserve"> </w:instrText>
      </w:r>
      <w:r>
        <w:instrText xml:space="preserve">PAGEREF _Toc234677872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2EC89AF6">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"_Toc234677873" </w:instrText>
      </w:r>
      <w:r>
        <w:fldChar w:fldCharType="separate"/>
      </w:r>
      <w:r>
        <w:rPr>
          <w:rStyle w:val="34"/>
          <w14:scene3d w14:prst="orthographicFront">
            <w14:lightRig w14:rig="threePt" w14:dir="t">
              <w14:rot w14:lat="0" w14:lon="0" w14:rev="0"/>
            </w14:lightRig>
          </w14:scene3d>
        </w:rPr>
        <w:t>5.2</w:t>
      </w:r>
      <w:r>
        <w:rPr>
          <w:rStyle w:val="34"/>
        </w:rPr>
        <w:t xml:space="preserve"> 出球连接管预装要求</w:t>
      </w:r>
      <w:r>
        <w:rPr>
          <w:rFonts w:hint="eastAsia"/>
        </w:rPr>
        <w:tab/>
      </w:r>
      <w:r>
        <w:rPr>
          <w:rFonts w:hint="eastAsia"/>
        </w:rPr>
        <w:fldChar w:fldCharType="begin"/>
      </w:r>
      <w:r>
        <w:rPr>
          <w:rFonts w:hint="eastAsia"/>
        </w:rPr>
        <w:instrText xml:space="preserve"> </w:instrText>
      </w:r>
      <w:r>
        <w:instrText xml:space="preserve">PAGEREF _Toc234677873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60ED926D">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"_Toc234677874" </w:instrText>
      </w:r>
      <w:r>
        <w:fldChar w:fldCharType="separate"/>
      </w:r>
      <w:r>
        <w:rPr>
          <w:rStyle w:val="34"/>
          <w14:scene3d w14:prst="orthographicFront">
            <w14:lightRig w14:rig="threePt" w14:dir="t">
              <w14:rot w14:lat="0" w14:lon="0" w14:rev="0"/>
            </w14:lightRig>
          </w14:scene3d>
        </w:rPr>
        <w:t>5.3</w:t>
      </w:r>
      <w:r>
        <w:rPr>
          <w:rStyle w:val="34"/>
        </w:rPr>
        <w:t xml:space="preserve"> 内部屏蔽块下部分安装要求</w:t>
      </w:r>
      <w:r>
        <w:rPr>
          <w:rFonts w:hint="eastAsia"/>
        </w:rPr>
        <w:tab/>
      </w:r>
      <w:r>
        <w:rPr>
          <w:rFonts w:hint="eastAsia"/>
        </w:rPr>
        <w:fldChar w:fldCharType="begin"/>
      </w:r>
      <w:r>
        <w:rPr>
          <w:rFonts w:hint="eastAsia"/>
        </w:rPr>
        <w:instrText xml:space="preserve"> </w:instrText>
      </w:r>
      <w:r>
        <w:instrText xml:space="preserve">PAGEREF _Toc234677874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15174F3E">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"_Toc234677875" </w:instrText>
      </w:r>
      <w:r>
        <w:fldChar w:fldCharType="separate"/>
      </w:r>
      <w:r>
        <w:rPr>
          <w:rStyle w:val="34"/>
          <w14:scene3d w14:prst="orthographicFront">
            <w14:lightRig w14:rig="threePt" w14:dir="t">
              <w14:rot w14:lat="0" w14:lon="0" w14:rev="0"/>
            </w14:lightRig>
          </w14:scene3d>
        </w:rPr>
        <w:t>5.4</w:t>
      </w:r>
      <w:r>
        <w:rPr>
          <w:rStyle w:val="34"/>
        </w:rPr>
        <w:t xml:space="preserve"> 堆芯壳安装要求</w:t>
      </w:r>
      <w:r>
        <w:rPr>
          <w:rFonts w:hint="eastAsia"/>
        </w:rPr>
        <w:tab/>
      </w:r>
      <w:r>
        <w:rPr>
          <w:rFonts w:hint="eastAsia"/>
        </w:rPr>
        <w:fldChar w:fldCharType="begin"/>
      </w:r>
      <w:r>
        <w:rPr>
          <w:rFonts w:hint="eastAsia"/>
        </w:rPr>
        <w:instrText xml:space="preserve"> </w:instrText>
      </w:r>
      <w:r>
        <w:instrText xml:space="preserve">PAGEREF _Toc234677875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3A47C9BA">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"_Toc234677876" </w:instrText>
      </w:r>
      <w:r>
        <w:fldChar w:fldCharType="separate"/>
      </w:r>
      <w:r>
        <w:rPr>
          <w:rStyle w:val="34"/>
          <w14:scene3d w14:prst="orthographicFront">
            <w14:lightRig w14:rig="threePt" w14:dir="t">
              <w14:rot w14:lat="0" w14:lon="0" w14:rev="0"/>
            </w14:lightRig>
          </w14:scene3d>
        </w:rPr>
        <w:t>5.5</w:t>
      </w:r>
      <w:r>
        <w:rPr>
          <w:rStyle w:val="34"/>
        </w:rPr>
        <w:t xml:space="preserve"> 限位环和出球连接管安装要求</w:t>
      </w:r>
      <w:r>
        <w:rPr>
          <w:rFonts w:hint="eastAsia"/>
        </w:rPr>
        <w:tab/>
      </w:r>
      <w:r>
        <w:rPr>
          <w:rFonts w:hint="eastAsia"/>
        </w:rPr>
        <w:fldChar w:fldCharType="begin"/>
      </w:r>
      <w:r>
        <w:rPr>
          <w:rFonts w:hint="eastAsia"/>
        </w:rPr>
        <w:instrText xml:space="preserve"> </w:instrText>
      </w:r>
      <w:r>
        <w:instrText xml:space="preserve">PAGEREF _Toc234677876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6F12B3FE">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"_Toc234677877" </w:instrText>
      </w:r>
      <w:r>
        <w:fldChar w:fldCharType="separate"/>
      </w:r>
      <w:r>
        <w:rPr>
          <w:rStyle w:val="34"/>
          <w14:scene3d w14:prst="orthographicFront">
            <w14:lightRig w14:rig="threePt" w14:dir="t">
              <w14:rot w14:lat="0" w14:lon="0" w14:rev="0"/>
            </w14:lightRig>
          </w14:scene3d>
        </w:rPr>
        <w:t>5.6</w:t>
      </w:r>
      <w:r>
        <w:rPr>
          <w:rStyle w:val="34"/>
        </w:rPr>
        <w:t xml:space="preserve"> 支承滚柱、下支承板和出球管等安装要求</w:t>
      </w:r>
      <w:r>
        <w:rPr>
          <w:rFonts w:hint="eastAsia"/>
        </w:rPr>
        <w:tab/>
      </w:r>
      <w:r>
        <w:rPr>
          <w:rFonts w:hint="eastAsia"/>
        </w:rPr>
        <w:fldChar w:fldCharType="begin"/>
      </w:r>
      <w:r>
        <w:rPr>
          <w:rFonts w:hint="eastAsia"/>
        </w:rPr>
        <w:instrText xml:space="preserve"> </w:instrText>
      </w:r>
      <w:r>
        <w:instrText xml:space="preserve">PAGEREF _Toc234677877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3B9005CB">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"_Toc234677878" </w:instrText>
      </w:r>
      <w:r>
        <w:fldChar w:fldCharType="separate"/>
      </w:r>
      <w:r>
        <w:rPr>
          <w:rStyle w:val="34"/>
        </w:rPr>
        <w:t>6 石墨、碳堆芯支承结构安装</w:t>
      </w:r>
      <w:r>
        <w:rPr>
          <w:rFonts w:hint="eastAsia"/>
        </w:rPr>
        <w:tab/>
      </w:r>
      <w:r>
        <w:rPr>
          <w:rFonts w:hint="eastAsia"/>
        </w:rPr>
        <w:fldChar w:fldCharType="begin"/>
      </w:r>
      <w:r>
        <w:rPr>
          <w:rFonts w:hint="eastAsia"/>
        </w:rPr>
        <w:instrText xml:space="preserve"> </w:instrText>
      </w:r>
      <w:r>
        <w:instrText xml:space="preserve">PAGEREF _Toc234677878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1F3B1397">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"_Toc234677879" </w:instrText>
      </w:r>
      <w:r>
        <w:fldChar w:fldCharType="separate"/>
      </w:r>
      <w:r>
        <w:rPr>
          <w:rStyle w:val="34"/>
          <w14:scene3d w14:prst="orthographicFront">
            <w14:lightRig w14:rig="threePt" w14:dir="t">
              <w14:rot w14:lat="0" w14:lon="0" w14:rev="0"/>
            </w14:lightRig>
          </w14:scene3d>
        </w:rPr>
        <w:t>6.1</w:t>
      </w:r>
      <w:r>
        <w:rPr>
          <w:rStyle w:val="34"/>
        </w:rPr>
        <w:t xml:space="preserve"> 石墨和碳堆芯支承结构安装的通用规定</w:t>
      </w:r>
      <w:r>
        <w:rPr>
          <w:rFonts w:hint="eastAsia"/>
        </w:rPr>
        <w:tab/>
      </w:r>
      <w:r>
        <w:rPr>
          <w:rFonts w:hint="eastAsia"/>
        </w:rPr>
        <w:fldChar w:fldCharType="begin"/>
      </w:r>
      <w:r>
        <w:rPr>
          <w:rFonts w:hint="eastAsia"/>
        </w:rPr>
        <w:instrText xml:space="preserve"> </w:instrText>
      </w:r>
      <w:r>
        <w:instrText xml:space="preserve">PAGEREF _Toc234677879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386B4F56">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"_Toc234677880" </w:instrText>
      </w:r>
      <w:r>
        <w:fldChar w:fldCharType="separate"/>
      </w:r>
      <w:r>
        <w:rPr>
          <w:rStyle w:val="34"/>
          <w14:scene3d w14:prst="orthographicFront">
            <w14:lightRig w14:rig="threePt" w14:dir="t">
              <w14:rot w14:lat="0" w14:lon="0" w14:rev="0"/>
            </w14:lightRig>
          </w14:scene3d>
        </w:rPr>
        <w:t>6.2</w:t>
      </w:r>
      <w:r>
        <w:rPr>
          <w:rStyle w:val="34"/>
        </w:rPr>
        <w:t xml:space="preserve"> 底绝热层碳砖的安装</w:t>
      </w:r>
      <w:r>
        <w:rPr>
          <w:rFonts w:hint="eastAsia"/>
        </w:rPr>
        <w:tab/>
      </w:r>
      <w:r>
        <w:rPr>
          <w:rFonts w:hint="eastAsia"/>
        </w:rPr>
        <w:fldChar w:fldCharType="begin"/>
      </w:r>
      <w:r>
        <w:rPr>
          <w:rFonts w:hint="eastAsia"/>
        </w:rPr>
        <w:instrText xml:space="preserve"> </w:instrText>
      </w:r>
      <w:r>
        <w:instrText xml:space="preserve">PAGEREF _Toc234677880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07CF7B06">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"_Toc234677881" </w:instrText>
      </w:r>
      <w:r>
        <w:fldChar w:fldCharType="separate"/>
      </w:r>
      <w:r>
        <w:rPr>
          <w:rStyle w:val="34"/>
          <w14:scene3d w14:prst="orthographicFront">
            <w14:lightRig w14:rig="threePt" w14:dir="t">
              <w14:rot w14:lat="0" w14:lon="0" w14:rev="0"/>
            </w14:lightRig>
          </w14:scene3d>
        </w:rPr>
        <w:t>6.3</w:t>
      </w:r>
      <w:r>
        <w:rPr>
          <w:rStyle w:val="34"/>
        </w:rPr>
        <w:t xml:space="preserve"> 底反射层和热气室结构安装</w:t>
      </w:r>
      <w:r>
        <w:rPr>
          <w:rFonts w:hint="eastAsia"/>
        </w:rPr>
        <w:tab/>
      </w:r>
      <w:r>
        <w:rPr>
          <w:rFonts w:hint="eastAsia"/>
        </w:rPr>
        <w:fldChar w:fldCharType="begin"/>
      </w:r>
      <w:r>
        <w:rPr>
          <w:rFonts w:hint="eastAsia"/>
        </w:rPr>
        <w:instrText xml:space="preserve"> </w:instrText>
      </w:r>
      <w:r>
        <w:instrText xml:space="preserve">PAGEREF _Toc234677881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3DAF546B">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"_Toc234677882" </w:instrText>
      </w:r>
      <w:r>
        <w:fldChar w:fldCharType="separate"/>
      </w:r>
      <w:r>
        <w:rPr>
          <w:rStyle w:val="34"/>
          <w14:scene3d w14:prst="orthographicFront">
            <w14:lightRig w14:rig="threePt" w14:dir="t">
              <w14:rot w14:lat="0" w14:lon="0" w14:rev="0"/>
            </w14:lightRig>
          </w14:scene3d>
        </w:rPr>
        <w:t>6.4</w:t>
      </w:r>
      <w:r>
        <w:rPr>
          <w:rStyle w:val="34"/>
        </w:rPr>
        <w:t xml:space="preserve"> 底反射层石墨砖的安装</w:t>
      </w:r>
      <w:r>
        <w:rPr>
          <w:rFonts w:hint="eastAsia"/>
        </w:rPr>
        <w:tab/>
      </w:r>
      <w:r>
        <w:rPr>
          <w:rFonts w:hint="eastAsia"/>
        </w:rPr>
        <w:fldChar w:fldCharType="begin"/>
      </w:r>
      <w:r>
        <w:rPr>
          <w:rFonts w:hint="eastAsia"/>
        </w:rPr>
        <w:instrText xml:space="preserve"> </w:instrText>
      </w:r>
      <w:r>
        <w:instrText xml:space="preserve">PAGEREF _Toc234677882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0A467267">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"_Toc234677883" </w:instrText>
      </w:r>
      <w:r>
        <w:fldChar w:fldCharType="separate"/>
      </w:r>
      <w:r>
        <w:rPr>
          <w:rStyle w:val="34"/>
          <w14:scene3d w14:prst="orthographicFront">
            <w14:lightRig w14:rig="threePt" w14:dir="t">
              <w14:rot w14:lat="0" w14:lon="0" w14:rev="0"/>
            </w14:lightRig>
          </w14:scene3d>
        </w:rPr>
        <w:t>6.5</w:t>
      </w:r>
      <w:r>
        <w:rPr>
          <w:rStyle w:val="34"/>
        </w:rPr>
        <w:t xml:space="preserve"> 侧反射层石墨砖和侧绝热层碳砖安装</w:t>
      </w:r>
      <w:r>
        <w:rPr>
          <w:rFonts w:hint="eastAsia"/>
        </w:rPr>
        <w:tab/>
      </w:r>
      <w:r>
        <w:rPr>
          <w:rFonts w:hint="eastAsia"/>
        </w:rPr>
        <w:fldChar w:fldCharType="begin"/>
      </w:r>
      <w:r>
        <w:rPr>
          <w:rFonts w:hint="eastAsia"/>
        </w:rPr>
        <w:instrText xml:space="preserve"> </w:instrText>
      </w:r>
      <w:r>
        <w:instrText xml:space="preserve">PAGEREF _Toc234677883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4B9F919D">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"_Toc234677884" </w:instrText>
      </w:r>
      <w:r>
        <w:fldChar w:fldCharType="separate"/>
      </w:r>
      <w:r>
        <w:rPr>
          <w:rStyle w:val="34"/>
          <w14:scene3d w14:prst="orthographicFront">
            <w14:lightRig w14:rig="threePt" w14:dir="t">
              <w14:rot w14:lat="0" w14:lon="0" w14:rev="0"/>
            </w14:lightRig>
          </w14:scene3d>
        </w:rPr>
        <w:t>6.6</w:t>
      </w:r>
      <w:r>
        <w:rPr>
          <w:rStyle w:val="34"/>
        </w:rPr>
        <w:t xml:space="preserve"> 顶反射层石墨砖和侧绝热层碳砖安装</w:t>
      </w:r>
      <w:r>
        <w:rPr>
          <w:rFonts w:hint="eastAsia"/>
        </w:rPr>
        <w:tab/>
      </w:r>
      <w:r>
        <w:rPr>
          <w:rFonts w:hint="eastAsia"/>
        </w:rPr>
        <w:fldChar w:fldCharType="begin"/>
      </w:r>
      <w:r>
        <w:rPr>
          <w:rFonts w:hint="eastAsia"/>
        </w:rPr>
        <w:instrText xml:space="preserve"> </w:instrText>
      </w:r>
      <w:r>
        <w:instrText xml:space="preserve">PAGEREF _Toc234677884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43A216B7">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"_Toc234677885" </w:instrText>
      </w:r>
      <w:r>
        <w:fldChar w:fldCharType="separate"/>
      </w:r>
      <w:r>
        <w:rPr>
          <w:rStyle w:val="34"/>
          <w14:scene3d w14:prst="orthographicFront">
            <w14:lightRig w14:rig="threePt" w14:dir="t">
              <w14:rot w14:lat="0" w14:lon="0" w14:rev="0"/>
            </w14:lightRig>
          </w14:scene3d>
        </w:rPr>
        <w:t>6.7</w:t>
      </w:r>
      <w:r>
        <w:rPr>
          <w:rStyle w:val="34"/>
        </w:rPr>
        <w:t xml:space="preserve"> 顶绝热层安装</w:t>
      </w:r>
      <w:r>
        <w:rPr>
          <w:rFonts w:hint="eastAsia"/>
        </w:rPr>
        <w:tab/>
      </w:r>
      <w:r>
        <w:rPr>
          <w:rFonts w:hint="eastAsia"/>
        </w:rPr>
        <w:fldChar w:fldCharType="begin"/>
      </w:r>
      <w:r>
        <w:rPr>
          <w:rFonts w:hint="eastAsia"/>
        </w:rPr>
        <w:instrText xml:space="preserve"> </w:instrText>
      </w:r>
      <w:r>
        <w:instrText xml:space="preserve">PAGEREF _Toc234677885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3C4E4CC9">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"_Toc234677886" </w:instrText>
      </w:r>
      <w:r>
        <w:fldChar w:fldCharType="separate"/>
      </w:r>
      <w:r>
        <w:rPr>
          <w:rStyle w:val="34"/>
          <w14:scene3d w14:prst="orthographicFront">
            <w14:lightRig w14:rig="threePt" w14:dir="t">
              <w14:rot w14:lat="0" w14:lon="0" w14:rev="0"/>
            </w14:lightRig>
          </w14:scene3d>
        </w:rPr>
        <w:t>6.8</w:t>
      </w:r>
      <w:r>
        <w:rPr>
          <w:rStyle w:val="34"/>
        </w:rPr>
        <w:t xml:space="preserve"> 含B4C石墨棒的安装</w:t>
      </w:r>
      <w:r>
        <w:rPr>
          <w:rFonts w:hint="eastAsia"/>
        </w:rPr>
        <w:tab/>
      </w:r>
      <w:r>
        <w:rPr>
          <w:rFonts w:hint="eastAsia"/>
        </w:rPr>
        <w:fldChar w:fldCharType="begin"/>
      </w:r>
      <w:r>
        <w:rPr>
          <w:rFonts w:hint="eastAsia"/>
        </w:rPr>
        <w:instrText xml:space="preserve"> </w:instrText>
      </w:r>
      <w:r>
        <w:instrText xml:space="preserve">PAGEREF _Toc234677886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22E4A0D9">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"_Toc234677887" </w:instrText>
      </w:r>
      <w:r>
        <w:fldChar w:fldCharType="separate"/>
      </w:r>
      <w:r>
        <w:rPr>
          <w:rStyle w:val="34"/>
        </w:rPr>
        <w:t>7 石墨和碳堆芯支承结构的试验</w:t>
      </w:r>
      <w:r>
        <w:rPr>
          <w:rFonts w:hint="eastAsia"/>
        </w:rPr>
        <w:tab/>
      </w:r>
      <w:r>
        <w:rPr>
          <w:rFonts w:hint="eastAsia"/>
        </w:rPr>
        <w:fldChar w:fldCharType="begin"/>
      </w:r>
      <w:r>
        <w:rPr>
          <w:rFonts w:hint="eastAsia"/>
        </w:rPr>
        <w:instrText xml:space="preserve"> </w:instrText>
      </w:r>
      <w:r>
        <w:instrText xml:space="preserve">PAGEREF _Toc234677887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37FB78E7">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"_Toc234677888" </w:instrText>
      </w:r>
      <w:r>
        <w:fldChar w:fldCharType="separate"/>
      </w:r>
      <w:r>
        <w:rPr>
          <w:rStyle w:val="34"/>
        </w:rPr>
        <w:t>8 整体预组装阶段中部金属堆芯支承结构安装</w:t>
      </w:r>
      <w:r>
        <w:rPr>
          <w:rFonts w:hint="eastAsia"/>
        </w:rPr>
        <w:tab/>
      </w:r>
      <w:r>
        <w:rPr>
          <w:rFonts w:hint="eastAsia"/>
        </w:rPr>
        <w:fldChar w:fldCharType="begin"/>
      </w:r>
      <w:r>
        <w:rPr>
          <w:rFonts w:hint="eastAsia"/>
        </w:rPr>
        <w:instrText xml:space="preserve"> </w:instrText>
      </w:r>
      <w:r>
        <w:instrText xml:space="preserve">PAGEREF _Toc234677888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455A081D">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"_Toc234677889" </w:instrText>
      </w:r>
      <w:r>
        <w:fldChar w:fldCharType="separate"/>
      </w:r>
      <w:r>
        <w:rPr>
          <w:rStyle w:val="34"/>
          <w14:scene3d w14:prst="orthographicFront">
            <w14:lightRig w14:rig="threePt" w14:dir="t">
              <w14:rot w14:lat="0" w14:lon="0" w14:rev="0"/>
            </w14:lightRig>
          </w14:scene3d>
        </w:rPr>
        <w:t>8.1</w:t>
      </w:r>
      <w:r>
        <w:rPr>
          <w:rStyle w:val="34"/>
        </w:rPr>
        <w:t xml:space="preserve"> 安装前准备</w:t>
      </w:r>
      <w:r>
        <w:rPr>
          <w:rFonts w:hint="eastAsia"/>
        </w:rPr>
        <w:tab/>
      </w:r>
      <w:r>
        <w:rPr>
          <w:rFonts w:hint="eastAsia"/>
        </w:rPr>
        <w:fldChar w:fldCharType="begin"/>
      </w:r>
      <w:r>
        <w:rPr>
          <w:rFonts w:hint="eastAsia"/>
        </w:rPr>
        <w:instrText xml:space="preserve"> </w:instrText>
      </w:r>
      <w:r>
        <w:instrText xml:space="preserve">PAGEREF _Toc234677889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29F62457">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"_Toc234677890" </w:instrText>
      </w:r>
      <w:r>
        <w:fldChar w:fldCharType="separate"/>
      </w:r>
      <w:r>
        <w:rPr>
          <w:rStyle w:val="34"/>
          <w14:scene3d w14:prst="orthographicFront">
            <w14:lightRig w14:rig="threePt" w14:dir="t">
              <w14:rot w14:lat="0" w14:lon="0" w14:rev="0"/>
            </w14:lightRig>
          </w14:scene3d>
        </w:rPr>
        <w:t>8.2</w:t>
      </w:r>
      <w:r>
        <w:rPr>
          <w:rStyle w:val="34"/>
        </w:rPr>
        <w:t xml:space="preserve"> 与石墨和碳砖相配装的金属堆芯支承结构</w:t>
      </w:r>
      <w:r>
        <w:rPr>
          <w:rFonts w:hint="eastAsia"/>
        </w:rPr>
        <w:tab/>
      </w:r>
      <w:r>
        <w:rPr>
          <w:rFonts w:hint="eastAsia"/>
        </w:rPr>
        <w:fldChar w:fldCharType="begin"/>
      </w:r>
      <w:r>
        <w:rPr>
          <w:rFonts w:hint="eastAsia"/>
        </w:rPr>
        <w:instrText xml:space="preserve"> </w:instrText>
      </w:r>
      <w:r>
        <w:instrText xml:space="preserve">PAGEREF _Toc234677890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62DCF558">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"_Toc234677891" </w:instrText>
      </w:r>
      <w:r>
        <w:fldChar w:fldCharType="separate"/>
      </w:r>
      <w:r>
        <w:rPr>
          <w:rStyle w:val="34"/>
        </w:rPr>
        <w:t>9 陶瓷堆芯支承结构安装完成后金属堆芯支承结构安装</w:t>
      </w:r>
      <w:r>
        <w:rPr>
          <w:rFonts w:hint="eastAsia"/>
        </w:rPr>
        <w:tab/>
      </w:r>
      <w:r>
        <w:rPr>
          <w:rFonts w:hint="eastAsia"/>
        </w:rPr>
        <w:fldChar w:fldCharType="begin"/>
      </w:r>
      <w:r>
        <w:rPr>
          <w:rFonts w:hint="eastAsia"/>
        </w:rPr>
        <w:instrText xml:space="preserve"> </w:instrText>
      </w:r>
      <w:r>
        <w:instrText xml:space="preserve">PAGEREF _Toc234677891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51BD25B5">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"_Toc234677892" </w:instrText>
      </w:r>
      <w:r>
        <w:fldChar w:fldCharType="separate"/>
      </w:r>
      <w:r>
        <w:rPr>
          <w:rStyle w:val="34"/>
          <w14:scene3d w14:prst="orthographicFront">
            <w14:lightRig w14:rig="threePt" w14:dir="t">
              <w14:rot w14:lat="0" w14:lon="0" w14:rev="0"/>
            </w14:lightRig>
          </w14:scene3d>
        </w:rPr>
        <w:t>9.1</w:t>
      </w:r>
      <w:r>
        <w:rPr>
          <w:rStyle w:val="34"/>
        </w:rPr>
        <w:t xml:space="preserve"> 定位板安装</w:t>
      </w:r>
      <w:r>
        <w:rPr>
          <w:rFonts w:hint="eastAsia"/>
        </w:rPr>
        <w:tab/>
      </w:r>
      <w:r>
        <w:rPr>
          <w:rFonts w:hint="eastAsia"/>
        </w:rPr>
        <w:fldChar w:fldCharType="begin"/>
      </w:r>
      <w:r>
        <w:rPr>
          <w:rFonts w:hint="eastAsia"/>
        </w:rPr>
        <w:instrText xml:space="preserve"> </w:instrText>
      </w:r>
      <w:r>
        <w:instrText xml:space="preserve">PAGEREF _Toc234677892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605C6A71">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"_Toc234677893" </w:instrText>
      </w:r>
      <w:r>
        <w:fldChar w:fldCharType="separate"/>
      </w:r>
      <w:r>
        <w:rPr>
          <w:rStyle w:val="34"/>
          <w14:scene3d w14:prst="orthographicFront">
            <w14:lightRig w14:rig="threePt" w14:dir="t">
              <w14:rot w14:lat="0" w14:lon="0" w14:rev="0"/>
            </w14:lightRig>
          </w14:scene3d>
        </w:rPr>
        <w:t>9.2</w:t>
      </w:r>
      <w:r>
        <w:rPr>
          <w:rStyle w:val="34"/>
        </w:rPr>
        <w:t xml:space="preserve"> 压板安装</w:t>
      </w:r>
      <w:r>
        <w:rPr>
          <w:rFonts w:hint="eastAsia"/>
        </w:rPr>
        <w:tab/>
      </w:r>
      <w:r>
        <w:rPr>
          <w:rFonts w:hint="eastAsia"/>
        </w:rPr>
        <w:fldChar w:fldCharType="begin"/>
      </w:r>
      <w:r>
        <w:rPr>
          <w:rFonts w:hint="eastAsia"/>
        </w:rPr>
        <w:instrText xml:space="preserve"> </w:instrText>
      </w:r>
      <w:r>
        <w:instrText xml:space="preserve">PAGEREF _Toc234677893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546C5B26">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"_Toc234677894" </w:instrText>
      </w:r>
      <w:r>
        <w:fldChar w:fldCharType="separate"/>
      </w:r>
      <w:r>
        <w:rPr>
          <w:rStyle w:val="34"/>
          <w14:scene3d w14:prst="orthographicFront">
            <w14:lightRig w14:rig="threePt" w14:dir="t">
              <w14:rot w14:lat="0" w14:lon="0" w14:rev="0"/>
            </w14:lightRig>
          </w14:scene3d>
        </w:rPr>
        <w:t>9.3</w:t>
      </w:r>
      <w:r>
        <w:rPr>
          <w:rStyle w:val="34"/>
        </w:rPr>
        <w:t xml:space="preserve"> 压板阻流环安装要求</w:t>
      </w:r>
      <w:r>
        <w:rPr>
          <w:rFonts w:hint="eastAsia"/>
        </w:rPr>
        <w:tab/>
      </w:r>
      <w:r>
        <w:rPr>
          <w:rFonts w:hint="eastAsia"/>
        </w:rPr>
        <w:fldChar w:fldCharType="begin"/>
      </w:r>
      <w:r>
        <w:rPr>
          <w:rFonts w:hint="eastAsia"/>
        </w:rPr>
        <w:instrText xml:space="preserve"> </w:instrText>
      </w:r>
      <w:r>
        <w:instrText xml:space="preserve">PAGEREF _Toc234677894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5BF1A26F">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"_Toc234677895" </w:instrText>
      </w:r>
      <w:r>
        <w:fldChar w:fldCharType="separate"/>
      </w:r>
      <w:r>
        <w:rPr>
          <w:rStyle w:val="34"/>
          <w14:scene3d w14:prst="orthographicFront">
            <w14:lightRig w14:rig="threePt" w14:dir="t">
              <w14:rot w14:lat="0" w14:lon="0" w14:rev="0"/>
            </w14:lightRig>
          </w14:scene3d>
        </w:rPr>
        <w:t>9.4</w:t>
      </w:r>
      <w:r>
        <w:rPr>
          <w:rStyle w:val="34"/>
        </w:rPr>
        <w:t xml:space="preserve"> 整体预组装完成后的孔道通过性试验验收</w:t>
      </w:r>
      <w:r>
        <w:rPr>
          <w:rFonts w:hint="eastAsia"/>
        </w:rPr>
        <w:tab/>
      </w:r>
      <w:r>
        <w:rPr>
          <w:rFonts w:hint="eastAsia"/>
        </w:rPr>
        <w:fldChar w:fldCharType="begin"/>
      </w:r>
      <w:r>
        <w:rPr>
          <w:rFonts w:hint="eastAsia"/>
        </w:rPr>
        <w:instrText xml:space="preserve"> </w:instrText>
      </w:r>
      <w:r>
        <w:instrText xml:space="preserve">PAGEREF _Toc234677895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5FF17029">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"_Toc234677896" </w:instrText>
      </w:r>
      <w:r>
        <w:fldChar w:fldCharType="separate"/>
      </w:r>
      <w:r>
        <w:rPr>
          <w:rStyle w:val="34"/>
        </w:rPr>
        <w:t>10 堆芯支承结构整体吊装</w:t>
      </w:r>
      <w:r>
        <w:rPr>
          <w:rFonts w:hint="eastAsia"/>
        </w:rPr>
        <w:tab/>
      </w:r>
      <w:r>
        <w:rPr>
          <w:rFonts w:hint="eastAsia"/>
        </w:rPr>
        <w:fldChar w:fldCharType="begin"/>
      </w:r>
      <w:r>
        <w:rPr>
          <w:rFonts w:hint="eastAsia"/>
        </w:rPr>
        <w:instrText xml:space="preserve"> </w:instrText>
      </w:r>
      <w:r>
        <w:instrText xml:space="preserve">PAGEREF _Toc234677896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4C68CE0E">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"_Toc234677897" </w:instrText>
      </w:r>
      <w:r>
        <w:fldChar w:fldCharType="separate"/>
      </w:r>
      <w:r>
        <w:rPr>
          <w:rStyle w:val="34"/>
          <w14:scene3d w14:prst="orthographicFront">
            <w14:lightRig w14:rig="threePt" w14:dir="t">
              <w14:rot w14:lat="0" w14:lon="0" w14:rev="0"/>
            </w14:lightRig>
          </w14:scene3d>
        </w:rPr>
        <w:t>10.1</w:t>
      </w:r>
      <w:r>
        <w:rPr>
          <w:rStyle w:val="34"/>
        </w:rPr>
        <w:t xml:space="preserve"> 堆芯支承结构整体吊装后的通过性验收</w:t>
      </w:r>
      <w:r>
        <w:rPr>
          <w:rFonts w:hint="eastAsia"/>
        </w:rPr>
        <w:tab/>
      </w:r>
      <w:r>
        <w:rPr>
          <w:rFonts w:hint="eastAsia"/>
        </w:rPr>
        <w:fldChar w:fldCharType="begin"/>
      </w:r>
      <w:r>
        <w:rPr>
          <w:rFonts w:hint="eastAsia"/>
        </w:rPr>
        <w:instrText xml:space="preserve"> </w:instrText>
      </w:r>
      <w:r>
        <w:instrText xml:space="preserve">PAGEREF _Toc234677897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6BB5BDE8">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"_Toc234677898" </w:instrText>
      </w:r>
      <w:r>
        <w:fldChar w:fldCharType="separate"/>
      </w:r>
      <w:r>
        <w:rPr>
          <w:rStyle w:val="34"/>
          <w14:scene3d w14:prst="orthographicFront">
            <w14:lightRig w14:rig="threePt" w14:dir="t">
              <w14:rot w14:lat="0" w14:lon="0" w14:rev="0"/>
            </w14:lightRig>
          </w14:scene3d>
        </w:rPr>
        <w:t>10.2</w:t>
      </w:r>
      <w:r>
        <w:rPr>
          <w:rStyle w:val="34"/>
        </w:rPr>
        <w:t xml:space="preserve"> 堆芯支承结构精确调整</w:t>
      </w:r>
      <w:r>
        <w:rPr>
          <w:rFonts w:hint="eastAsia"/>
        </w:rPr>
        <w:tab/>
      </w:r>
      <w:r>
        <w:rPr>
          <w:rFonts w:hint="eastAsia"/>
        </w:rPr>
        <w:fldChar w:fldCharType="begin"/>
      </w:r>
      <w:r>
        <w:rPr>
          <w:rFonts w:hint="eastAsia"/>
        </w:rPr>
        <w:instrText xml:space="preserve"> </w:instrText>
      </w:r>
      <w:r>
        <w:instrText xml:space="preserve">PAGEREF _Toc234677898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364370C8">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"_Toc234677899" </w:instrText>
      </w:r>
      <w:r>
        <w:fldChar w:fldCharType="separate"/>
      </w:r>
      <w:r>
        <w:rPr>
          <w:rStyle w:val="34"/>
          <w14:scene3d w14:prst="orthographicFront">
            <w14:lightRig w14:rig="threePt" w14:dir="t">
              <w14:rot w14:lat="0" w14:lon="0" w14:rev="0"/>
            </w14:lightRig>
          </w14:scene3d>
        </w:rPr>
        <w:t>10.3</w:t>
      </w:r>
      <w:r>
        <w:rPr>
          <w:rStyle w:val="34"/>
        </w:rPr>
        <w:t xml:space="preserve"> 上支承板上零部件的安装要求</w:t>
      </w:r>
      <w:r>
        <w:rPr>
          <w:rFonts w:hint="eastAsia"/>
        </w:rPr>
        <w:tab/>
      </w:r>
      <w:r>
        <w:rPr>
          <w:rFonts w:hint="eastAsia"/>
        </w:rPr>
        <w:fldChar w:fldCharType="begin"/>
      </w:r>
      <w:r>
        <w:rPr>
          <w:rFonts w:hint="eastAsia"/>
        </w:rPr>
        <w:instrText xml:space="preserve"> </w:instrText>
      </w:r>
      <w:r>
        <w:instrText xml:space="preserve">PAGEREF _Toc234677899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544A7A1A">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"_Toc234677900" </w:instrText>
      </w:r>
      <w:r>
        <w:fldChar w:fldCharType="separate"/>
      </w:r>
      <w:r>
        <w:rPr>
          <w:rStyle w:val="34"/>
        </w:rPr>
        <w:t>11 验收</w:t>
      </w:r>
      <w:r>
        <w:rPr>
          <w:rFonts w:hint="eastAsia"/>
        </w:rPr>
        <w:tab/>
      </w:r>
      <w:r>
        <w:rPr>
          <w:rFonts w:hint="eastAsia"/>
        </w:rPr>
        <w:fldChar w:fldCharType="begin"/>
      </w:r>
      <w:r>
        <w:rPr>
          <w:rFonts w:hint="eastAsia"/>
        </w:rPr>
        <w:instrText xml:space="preserve"> </w:instrText>
      </w:r>
      <w:r>
        <w:instrText xml:space="preserve">PAGEREF _Toc234677900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483B224B">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"_Toc234677901" </w:instrText>
      </w:r>
      <w:r>
        <w:fldChar w:fldCharType="separate"/>
      </w:r>
      <w:r>
        <w:rPr>
          <w:rStyle w:val="34"/>
          <w:spacing w:val="105"/>
        </w:rPr>
        <w:t>参考文</w:t>
      </w:r>
      <w:r>
        <w:rPr>
          <w:rStyle w:val="34"/>
        </w:rPr>
        <w:t>献</w:t>
      </w:r>
      <w:r>
        <w:rPr>
          <w:rFonts w:hint="eastAsia"/>
        </w:rPr>
        <w:tab/>
      </w:r>
      <w:r>
        <w:rPr>
          <w:rFonts w:hint="eastAsia"/>
        </w:rPr>
        <w:fldChar w:fldCharType="begin"/>
      </w:r>
      <w:r>
        <w:rPr>
          <w:rFonts w:hint="eastAsia"/>
        </w:rPr>
        <w:instrText xml:space="preserve"> </w:instrText>
      </w:r>
      <w:r>
        <w:instrText xml:space="preserve">PAGEREF _Toc234677901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77048B0A">
      <w:pPr>
        <w:pStyle w:val="93"/>
        <w:spacing w:after="468"/>
        <w:sectPr>
          <w:headerReference r:id="rId9" w:type="default"/>
          <w:footerReference r:id="rId11" w:type="default"/>
          <w:headerReference r:id="rId10" w:type="even"/>
          <w:footerReference r:id="rId12" w:type="even"/>
          <w:pgSz w:w="11906" w:h="16838"/>
          <w:pgMar w:top="1985" w:right="1134" w:bottom="1134" w:left="1134" w:header="1418" w:footer="1134" w:gutter="284"/>
          <w:pgNumType w:fmt="upperRoman" w:start="1"/>
          <w:cols w:space="425" w:num="1"/>
          <w:formProt w:val="0"/>
          <w:docGrid w:type="lines" w:linePitch="312" w:charSpace="0"/>
        </w:sectPr>
      </w:pPr>
      <w:r>
        <w:fldChar w:fldCharType="end"/>
      </w:r>
    </w:p>
    <w:bookmarkEnd w:id="14"/>
    <w:p w14:paraId="0456E477">
      <w:pPr>
        <w:pStyle w:val="91"/>
        <w:spacing w:after="468"/>
      </w:pPr>
      <w:bookmarkStart w:id="19" w:name="_Toc234677804"/>
      <w:bookmarkStart w:id="20" w:name="BookMark2"/>
      <w:r>
        <w:rPr>
          <w:spacing w:val="320"/>
        </w:rPr>
        <w:t>前</w:t>
      </w:r>
      <w:r>
        <w:t>言</w:t>
      </w:r>
      <w:bookmarkEnd w:id="15"/>
      <w:bookmarkEnd w:id="16"/>
      <w:bookmarkEnd w:id="17"/>
      <w:bookmarkEnd w:id="18"/>
      <w:bookmarkEnd w:id="19"/>
    </w:p>
    <w:p w14:paraId="14875704">
      <w:pPr>
        <w:pStyle w:val="58"/>
        <w:ind w:firstLine="420"/>
      </w:pPr>
      <w:r>
        <w:rPr>
          <w:rFonts w:hint="eastAsia"/>
        </w:rPr>
        <w:t>本文件按照</w:t>
      </w:r>
      <w:r>
        <w:rPr>
          <w:rFonts w:ascii="Times New Roman"/>
        </w:rPr>
        <w:t>GB/T 1.1—2020</w:t>
      </w:r>
      <w:r>
        <w:t>《标准化工作导则 第1部分：标准化文件的结构和起草规则》的规定</w:t>
      </w:r>
      <w:r>
        <w:rPr>
          <w:rFonts w:hint="eastAsia"/>
        </w:rPr>
        <w:br w:type="textWrapping"/>
      </w:r>
      <w:r>
        <w:t>起草。</w:t>
      </w:r>
    </w:p>
    <w:p w14:paraId="3E885CED">
      <w:pPr>
        <w:pStyle w:val="134"/>
        <w:numPr>
          <w:ilvl w:val="0"/>
          <w:numId w:val="0"/>
        </w:numPr>
        <w:ind w:left="425"/>
      </w:pPr>
      <w:r>
        <w:rPr>
          <w:rFonts w:hint="eastAsia"/>
        </w:rPr>
        <w:t>请注意本文件的某些内容可能涉及专利。本文件的发布机构不承担识别这些专利的责任。</w:t>
      </w:r>
    </w:p>
    <w:p w14:paraId="1061B3C3">
      <w:pPr>
        <w:pStyle w:val="232"/>
      </w:pPr>
      <w:r>
        <w:rPr>
          <w:rFonts w:hint="eastAsia"/>
        </w:rPr>
        <w:t>本文件由中国核学会提出。</w:t>
      </w:r>
    </w:p>
    <w:p w14:paraId="0F39F425">
      <w:pPr>
        <w:pStyle w:val="232"/>
      </w:pPr>
      <w:r>
        <w:rPr>
          <w:rFonts w:hint="eastAsia"/>
        </w:rPr>
        <w:t>本文件由核工业标准化研究所归口。</w:t>
      </w:r>
    </w:p>
    <w:p w14:paraId="3D57DAAD">
      <w:pPr>
        <w:pStyle w:val="232"/>
        <w:rPr>
          <w:szCs w:val="21"/>
        </w:rPr>
      </w:pPr>
      <w:r>
        <w:rPr>
          <w:szCs w:val="21"/>
        </w:rPr>
        <w:t>本</w:t>
      </w:r>
      <w:r>
        <w:rPr>
          <w:rFonts w:hint="eastAsia"/>
        </w:rPr>
        <w:t>文件</w:t>
      </w:r>
      <w:r>
        <w:rPr>
          <w:szCs w:val="21"/>
        </w:rPr>
        <w:t>起草单位：</w:t>
      </w:r>
      <w:r>
        <w:rPr>
          <w:rFonts w:hint="eastAsia"/>
        </w:rPr>
        <w:t>中国核工业二三建设有限公司、中核能源科技有限公司、中核山东核能有限公司、中国核电工程有限公司。</w:t>
      </w:r>
    </w:p>
    <w:p w14:paraId="6E6CF144">
      <w:pPr>
        <w:pStyle w:val="58"/>
        <w:ind w:firstLine="420"/>
      </w:pPr>
      <w:r>
        <w:rPr>
          <w:rFonts w:hint="eastAsia"/>
        </w:rPr>
        <w:t>本文件主要起草人：张大勇、孙朝朋、范凯、李旺、施发永、张志强、王瑞、余德和、梁小燕、杨炳楠、于伟江、胡岷、段新亮、王叶、兰垂祥、罗贤宝。</w:t>
      </w:r>
    </w:p>
    <w:p w14:paraId="5312CBF6">
      <w:pPr>
        <w:pStyle w:val="58"/>
        <w:ind w:firstLine="420"/>
      </w:pPr>
    </w:p>
    <w:p w14:paraId="132772D6">
      <w:pPr>
        <w:pStyle w:val="58"/>
        <w:ind w:firstLine="420"/>
        <w:sectPr>
          <w:headerReference r:id="rId13" w:type="default"/>
          <w:footerReference r:id="rId15" w:type="default"/>
          <w:headerReference r:id="rId14" w:type="even"/>
          <w:footerReference r:id="rId16" w:type="even"/>
          <w:pgSz w:w="11906" w:h="16838"/>
          <w:pgMar w:top="1985" w:right="1134" w:bottom="1134" w:left="1134" w:header="1418" w:footer="1134" w:gutter="284"/>
          <w:pgNumType w:fmt="upperRoman"/>
          <w:cols w:space="425" w:num="1"/>
          <w:formProt w:val="0"/>
          <w:docGrid w:type="lines" w:linePitch="312" w:charSpace="0"/>
        </w:sectPr>
      </w:pPr>
    </w:p>
    <w:bookmarkEnd w:id="20"/>
    <w:p w14:paraId="6B6D46BE">
      <w:pPr>
        <w:spacing w:line="20" w:lineRule="exact"/>
        <w:jc w:val="center"/>
        <w:rPr>
          <w:rFonts w:hint="eastAsia" w:ascii="黑体" w:hAnsi="黑体" w:eastAsia="黑体"/>
          <w:sz w:val="32"/>
          <w:szCs w:val="32"/>
        </w:rPr>
      </w:pPr>
      <w:bookmarkStart w:id="21" w:name="BookMark4"/>
    </w:p>
    <w:p w14:paraId="5A3FE068">
      <w:pPr>
        <w:spacing w:line="20" w:lineRule="exact"/>
        <w:jc w:val="center"/>
        <w:rPr>
          <w:rFonts w:hint="eastAsia" w:ascii="黑体" w:hAnsi="黑体" w:eastAsia="黑体"/>
          <w:sz w:val="32"/>
          <w:szCs w:val="32"/>
        </w:rPr>
      </w:pPr>
    </w:p>
    <w:sdt>
      <w:sdtPr>
        <w:tag w:val="NEW_STAND_NAME"/>
        <w:id w:val="595910757"/>
        <w:lock w:val="sdtLocked"/>
        <w:placeholder>
          <w:docPart w:val="37BB669AC7EB41A7958D33237211E0DE"/>
        </w:placeholder>
      </w:sdtPr>
      <w:sdtContent>
        <w:p w14:paraId="5F90D982">
          <w:pPr>
            <w:pStyle w:val="179"/>
            <w:spacing w:before="3" w:beforeLines="1" w:after="686" w:afterLines="220"/>
            <w:rPr>
              <w:rFonts w:hint="eastAsia" w:ascii="Calibri" w:hAnsi="Calibri" w:eastAsia="宋体"/>
              <w:sz w:val="21"/>
              <w:szCs w:val="21"/>
            </w:rPr>
          </w:pPr>
          <w:bookmarkStart w:id="22" w:name="NEW_STAND_NAME"/>
          <w:sdt>
            <w:sdtPr>
              <w:tag w:val="NEW_STAND_NAME"/>
              <w:id w:val="31307749"/>
              <w:placeholder>
                <w:docPart w:val="1990EA9A29494C55BBC429BEEDF8D1F6"/>
              </w:placeholder>
            </w:sdtPr>
            <w:sdtContent>
              <w:r>
                <w:rPr>
                  <w:rFonts w:hint="eastAsia"/>
                </w:rPr>
                <w:t>高温气冷堆核动力厂堆内构件安装及验收技术规程</w:t>
              </w:r>
            </w:sdtContent>
          </w:sdt>
        </w:p>
      </w:sdtContent>
    </w:sdt>
    <w:bookmarkEnd w:id="22"/>
    <w:p w14:paraId="52F5475D">
      <w:pPr>
        <w:pStyle w:val="106"/>
        <w:spacing w:before="312" w:after="312"/>
      </w:pPr>
      <w:bookmarkStart w:id="23" w:name="_Toc26648465"/>
      <w:bookmarkStart w:id="24" w:name="_Toc24884218"/>
      <w:bookmarkStart w:id="25" w:name="_Toc98918883"/>
      <w:bookmarkStart w:id="26" w:name="_Toc126746799"/>
      <w:bookmarkStart w:id="27" w:name="_Toc202774741"/>
      <w:bookmarkStart w:id="28" w:name="_Toc126746500"/>
      <w:bookmarkStart w:id="29" w:name="_Toc26986530"/>
      <w:bookmarkStart w:id="30" w:name="_Toc26718930"/>
      <w:bookmarkStart w:id="31" w:name="_Toc24884211"/>
      <w:bookmarkStart w:id="32" w:name="_Toc17233325"/>
      <w:bookmarkStart w:id="33" w:name="_Toc201757085"/>
      <w:bookmarkStart w:id="34" w:name="_Toc26986771"/>
      <w:bookmarkStart w:id="35" w:name="_Toc17233333"/>
      <w:bookmarkStart w:id="36" w:name="_Toc234677805"/>
      <w:r>
        <w:rPr>
          <w:rFonts w:hint="eastAsia"/>
        </w:rPr>
        <w:t>范围</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73148EC">
      <w:pPr>
        <w:pStyle w:val="232"/>
      </w:pPr>
      <w:bookmarkStart w:id="37" w:name="_Toc17233334"/>
      <w:bookmarkStart w:id="38" w:name="_Toc24884212"/>
      <w:bookmarkStart w:id="39" w:name="_Toc26648466"/>
      <w:bookmarkStart w:id="40" w:name="_Toc24884219"/>
      <w:bookmarkStart w:id="41" w:name="_Toc17233326"/>
      <w:r>
        <w:rPr>
          <w:rFonts w:hint="eastAsia"/>
        </w:rPr>
        <w:t>本文规定了高温气冷堆核动力厂堆内构件安装及验收技术规程，包括现场接收、临时贮存、运转、吊装、安装及验收等活动；根据其结构特点主要分为金属堆内构件、石墨和碳砖堆内构件两大部分。其中金属堆内构件包含：堆芯壳组件、支承座组件、支承滚柱组件、下支承板组件、限位工字钢等。石墨和碳砖堆内构件包含：石墨砖（顶反射层、侧反射层、底反射层等）、碳砖（顶绝热层、侧绝热层、底绝热层等）、榫 / 键（长方键、燕尾键、防旋键等）、套环、套筒等。</w:t>
      </w:r>
    </w:p>
    <w:p w14:paraId="46343153">
      <w:pPr>
        <w:pStyle w:val="232"/>
        <w:rPr>
          <w:rFonts w:hint="eastAsia"/>
        </w:rPr>
      </w:pPr>
      <w:r>
        <w:rPr>
          <w:rFonts w:hint="eastAsia"/>
        </w:rPr>
        <w:t>本文适用于新建或在建的高温气冷堆核动力厂堆内构件安装工程的安装及验收，其他类型核动力厂和核设施可参考使用。</w:t>
      </w:r>
    </w:p>
    <w:p w14:paraId="7F65D536">
      <w:pPr>
        <w:pStyle w:val="106"/>
        <w:spacing w:before="312" w:after="312"/>
      </w:pPr>
      <w:bookmarkStart w:id="42" w:name="_Toc26718931"/>
      <w:bookmarkStart w:id="43" w:name="_Toc202774742"/>
      <w:bookmarkStart w:id="44" w:name="_Toc234677806"/>
      <w:bookmarkStart w:id="45" w:name="_Toc98918884"/>
      <w:bookmarkStart w:id="46" w:name="_Toc126746800"/>
      <w:bookmarkStart w:id="47" w:name="_Toc126746501"/>
      <w:bookmarkStart w:id="48" w:name="_Toc26986772"/>
      <w:bookmarkStart w:id="49" w:name="_Toc26986531"/>
      <w:bookmarkStart w:id="50" w:name="_Toc201757086"/>
      <w:r>
        <w:rPr>
          <w:rFonts w:hint="eastAsia"/>
        </w:rPr>
        <w:t>规范性引用文件</w:t>
      </w:r>
      <w:bookmarkEnd w:id="37"/>
      <w:bookmarkEnd w:id="38"/>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A4CAB75A1AEE4F6C8746EC2417C153B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0B16EDC">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305DC05">
      <w:pPr>
        <w:pStyle w:val="232"/>
        <w:rPr>
          <w:rFonts w:hint="eastAsia"/>
        </w:rPr>
      </w:pPr>
      <w:r>
        <w:rPr>
          <w:rFonts w:hint="eastAsia" w:ascii="Times New Roman"/>
        </w:rPr>
        <w:t>本标准无相关规范性引用文件。</w:t>
      </w:r>
    </w:p>
    <w:p w14:paraId="62D668A8">
      <w:pPr>
        <w:pStyle w:val="106"/>
        <w:spacing w:before="312" w:after="312"/>
      </w:pPr>
      <w:bookmarkStart w:id="51" w:name="_Toc201757087"/>
      <w:bookmarkStart w:id="52" w:name="_Toc126746502"/>
      <w:bookmarkStart w:id="53" w:name="_Toc98918885"/>
      <w:bookmarkStart w:id="54" w:name="_Toc234677807"/>
      <w:bookmarkStart w:id="55" w:name="_Toc202774743"/>
      <w:bookmarkStart w:id="56" w:name="_Toc126746801"/>
      <w:r>
        <w:rPr>
          <w:rFonts w:hint="eastAsia"/>
        </w:rPr>
        <w:t>术语和定义</w:t>
      </w:r>
      <w:bookmarkEnd w:id="51"/>
      <w:bookmarkEnd w:id="52"/>
      <w:bookmarkEnd w:id="53"/>
      <w:bookmarkEnd w:id="54"/>
      <w:bookmarkEnd w:id="55"/>
      <w:bookmarkEnd w:id="56"/>
    </w:p>
    <w:sdt>
      <w:sdtPr>
        <w:rPr>
          <w:rFonts w:hint="eastAsia"/>
        </w:rPr>
        <w:id w:val="-1909835108"/>
        <w:placeholder>
          <w:docPart w:val="116B6AA7654743B29DE5CDC2875CE1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14:paraId="552E32A8">
          <w:pPr>
            <w:pStyle w:val="58"/>
            <w:ind w:firstLine="420"/>
            <w:rPr>
              <w:rFonts w:hint="eastAsia"/>
            </w:rPr>
          </w:pPr>
          <w:bookmarkStart w:id="57" w:name="_Toc26986532"/>
          <w:bookmarkEnd w:id="57"/>
          <w:r>
            <w:rPr>
              <w:rFonts w:hint="eastAsia"/>
            </w:rPr>
            <w:t>下列术语和定义适用于本文件。</w:t>
          </w:r>
        </w:p>
      </w:sdtContent>
    </w:sdt>
    <w:p w14:paraId="274AF79E">
      <w:pPr>
        <w:pStyle w:val="107"/>
        <w:spacing w:before="156" w:after="156"/>
        <w:outlineLvl w:val="9"/>
      </w:pPr>
      <w:bookmarkStart w:id="58" w:name="_Toc202774744"/>
      <w:bookmarkEnd w:id="58"/>
      <w:bookmarkStart w:id="59" w:name="_Toc126746503"/>
      <w:bookmarkEnd w:id="59"/>
      <w:bookmarkStart w:id="60" w:name="_Toc201757088"/>
      <w:bookmarkEnd w:id="60"/>
      <w:bookmarkStart w:id="61" w:name="_Toc220940807"/>
      <w:bookmarkEnd w:id="61"/>
      <w:bookmarkStart w:id="62" w:name="_Toc126746802"/>
      <w:bookmarkEnd w:id="62"/>
      <w:bookmarkStart w:id="63" w:name="_Toc234677808"/>
      <w:bookmarkEnd w:id="63"/>
      <w:bookmarkStart w:id="64" w:name="_Toc207715526"/>
      <w:bookmarkStart w:id="65" w:name="_Toc17361627"/>
    </w:p>
    <w:p w14:paraId="020A2EE9">
      <w:pPr>
        <w:pStyle w:val="107"/>
        <w:numPr>
          <w:ilvl w:val="255"/>
          <w:numId w:val="0"/>
        </w:numPr>
        <w:spacing w:before="156" w:after="156"/>
        <w:ind w:firstLine="420" w:firstLineChars="200"/>
        <w:outlineLvl w:val="9"/>
      </w:pPr>
      <w:bookmarkStart w:id="66" w:name="_Toc234677809"/>
      <w:r>
        <w:rPr>
          <w:rFonts w:hint="eastAsia"/>
        </w:rPr>
        <w:t>堆芯壳组件  core shell module</w:t>
      </w:r>
      <w:bookmarkEnd w:id="64"/>
      <w:bookmarkEnd w:id="65"/>
      <w:bookmarkEnd w:id="66"/>
    </w:p>
    <w:p w14:paraId="5BB65132">
      <w:pPr>
        <w:pStyle w:val="232"/>
      </w:pPr>
      <w:r>
        <w:rPr>
          <w:rFonts w:hint="eastAsia"/>
        </w:rPr>
        <w:t>由耐热铬钼钢制成的薄壁型焊接直圆筒结构，由薄壁筒体、上法兰段、下加厚段、底板和下部筋板支承结构组成。</w:t>
      </w:r>
    </w:p>
    <w:p w14:paraId="7C55DFFA">
      <w:pPr>
        <w:pStyle w:val="107"/>
        <w:spacing w:before="156" w:after="156"/>
        <w:outlineLvl w:val="9"/>
      </w:pPr>
      <w:bookmarkStart w:id="67" w:name="_Toc234677810"/>
      <w:bookmarkEnd w:id="67"/>
      <w:bookmarkStart w:id="68" w:name="_Toc207715527"/>
      <w:bookmarkStart w:id="69" w:name="_Toc17361628"/>
    </w:p>
    <w:p w14:paraId="057E717C">
      <w:pPr>
        <w:pStyle w:val="107"/>
        <w:numPr>
          <w:ilvl w:val="255"/>
          <w:numId w:val="0"/>
        </w:numPr>
        <w:spacing w:before="156" w:after="156"/>
        <w:ind w:firstLine="420" w:firstLineChars="200"/>
        <w:outlineLvl w:val="9"/>
      </w:pPr>
      <w:bookmarkStart w:id="70" w:name="_Toc234677811"/>
      <w:r>
        <w:rPr>
          <w:rFonts w:hint="eastAsia"/>
        </w:rPr>
        <w:t>支承座组件</w:t>
      </w:r>
      <w:bookmarkStart w:id="71" w:name="OLE_LINK13"/>
      <w:bookmarkStart w:id="72" w:name="OLE_LINK14"/>
      <w:r>
        <w:rPr>
          <w:rFonts w:hint="eastAsia"/>
        </w:rPr>
        <w:t xml:space="preserve">  support seat module</w:t>
      </w:r>
      <w:bookmarkEnd w:id="68"/>
      <w:bookmarkEnd w:id="70"/>
      <w:bookmarkEnd w:id="71"/>
      <w:bookmarkEnd w:id="72"/>
      <w:r>
        <w:rPr>
          <w:rFonts w:hint="eastAsia"/>
        </w:rPr>
        <w:t xml:space="preserve"> </w:t>
      </w:r>
      <w:bookmarkEnd w:id="69"/>
    </w:p>
    <w:p w14:paraId="5ED458AB">
      <w:pPr>
        <w:pStyle w:val="232"/>
      </w:pPr>
      <w:r>
        <w:rPr>
          <w:rFonts w:hint="eastAsia"/>
        </w:rPr>
        <w:t>由上、下盖板、水平调整垫板等组成，总共有15组</w:t>
      </w:r>
      <w:r>
        <w:t>支承</w:t>
      </w:r>
      <w:r>
        <w:rPr>
          <w:rFonts w:hint="eastAsia"/>
        </w:rPr>
        <w:t>座</w:t>
      </w:r>
      <w:r>
        <w:t>组件</w:t>
      </w:r>
      <w:r>
        <w:rPr>
          <w:rFonts w:hint="eastAsia"/>
        </w:rPr>
        <w:t>，</w:t>
      </w:r>
      <w:r>
        <w:t>它支承着堆芯支承结构</w:t>
      </w:r>
      <w:r>
        <w:rPr>
          <w:rFonts w:hint="eastAsia"/>
        </w:rPr>
        <w:t>（包括金属、陶瓷）和燃料元件的重量，并</w:t>
      </w:r>
      <w:r>
        <w:t>补偿上下结构之间的热膨胀差</w:t>
      </w:r>
      <w:r>
        <w:rPr>
          <w:rFonts w:hint="eastAsia"/>
        </w:rPr>
        <w:t>，</w:t>
      </w:r>
      <w:r>
        <w:t>从而达到在结构内避</w:t>
      </w:r>
      <w:r>
        <w:rPr>
          <w:rFonts w:hint="eastAsia"/>
        </w:rPr>
        <w:t>免产生过大的应力和变形的作用。</w:t>
      </w:r>
    </w:p>
    <w:p w14:paraId="135A81EC">
      <w:pPr>
        <w:pStyle w:val="107"/>
        <w:spacing w:before="156" w:after="156"/>
        <w:outlineLvl w:val="9"/>
      </w:pPr>
      <w:bookmarkStart w:id="73" w:name="_Toc234677812"/>
      <w:bookmarkEnd w:id="73"/>
      <w:bookmarkStart w:id="74" w:name="_Toc17361629"/>
      <w:bookmarkStart w:id="75" w:name="_Toc207715528"/>
    </w:p>
    <w:p w14:paraId="1237007F">
      <w:pPr>
        <w:pStyle w:val="107"/>
        <w:numPr>
          <w:ilvl w:val="255"/>
          <w:numId w:val="0"/>
        </w:numPr>
        <w:spacing w:before="156" w:after="156"/>
        <w:ind w:firstLine="420" w:firstLineChars="200"/>
        <w:outlineLvl w:val="9"/>
      </w:pPr>
      <w:bookmarkStart w:id="76" w:name="_Toc234677813"/>
      <w:r>
        <w:rPr>
          <w:rFonts w:hint="eastAsia"/>
        </w:rPr>
        <w:t>支承滚柱组件  support roller module</w:t>
      </w:r>
      <w:bookmarkEnd w:id="74"/>
      <w:bookmarkEnd w:id="75"/>
      <w:bookmarkEnd w:id="76"/>
    </w:p>
    <w:p w14:paraId="631ABFBB">
      <w:pPr>
        <w:pStyle w:val="232"/>
      </w:pPr>
      <w:r>
        <w:rPr>
          <w:rFonts w:hint="eastAsia"/>
        </w:rPr>
        <w:t>每组</w:t>
      </w:r>
      <w:r>
        <w:t>支承滚柱组件</w:t>
      </w:r>
      <w:r>
        <w:rPr>
          <w:rFonts w:hint="eastAsia"/>
        </w:rPr>
        <w:t>由上、下盖板、滚柱、齿条、扇形齿轮等组成，总共有54组</w:t>
      </w:r>
      <w:r>
        <w:t>支承滚柱组件</w:t>
      </w:r>
      <w:r>
        <w:rPr>
          <w:rFonts w:hint="eastAsia"/>
        </w:rPr>
        <w:t>，</w:t>
      </w:r>
      <w:r>
        <w:t>它支承着</w:t>
      </w:r>
      <w:r>
        <w:rPr>
          <w:rFonts w:hint="eastAsia"/>
        </w:rPr>
        <w:t>陶瓷（即石墨和碳砖）</w:t>
      </w:r>
      <w:r>
        <w:t>堆芯支承结构</w:t>
      </w:r>
      <w:r>
        <w:rPr>
          <w:rFonts w:hint="eastAsia"/>
        </w:rPr>
        <w:t>、下支承板和燃料元件重量，并</w:t>
      </w:r>
      <w:r>
        <w:t>补偿上下结构之间的热膨胀差</w:t>
      </w:r>
      <w:r>
        <w:rPr>
          <w:rFonts w:hint="eastAsia"/>
        </w:rPr>
        <w:t>，</w:t>
      </w:r>
      <w:r>
        <w:t>从而达到在结构内避免产生过大的应力和变形的作用</w:t>
      </w:r>
      <w:r>
        <w:rPr>
          <w:rFonts w:hint="eastAsia"/>
        </w:rPr>
        <w:t>。</w:t>
      </w:r>
    </w:p>
    <w:p w14:paraId="143A6099">
      <w:pPr>
        <w:pStyle w:val="107"/>
        <w:spacing w:before="156" w:after="156"/>
        <w:outlineLvl w:val="9"/>
      </w:pPr>
      <w:bookmarkStart w:id="77" w:name="_Toc234677814"/>
      <w:bookmarkEnd w:id="77"/>
      <w:bookmarkStart w:id="78" w:name="_Toc207715529"/>
      <w:bookmarkStart w:id="79" w:name="_Toc17361630"/>
    </w:p>
    <w:p w14:paraId="1E988422">
      <w:pPr>
        <w:pStyle w:val="107"/>
        <w:numPr>
          <w:ilvl w:val="255"/>
          <w:numId w:val="0"/>
        </w:numPr>
        <w:spacing w:before="156" w:after="156"/>
        <w:ind w:firstLine="420" w:firstLineChars="200"/>
        <w:outlineLvl w:val="9"/>
      </w:pPr>
      <w:bookmarkStart w:id="80" w:name="_Toc234677815"/>
      <w:r>
        <w:rPr>
          <w:rFonts w:hint="eastAsia"/>
        </w:rPr>
        <w:t>下支承板组件  low support plat module</w:t>
      </w:r>
      <w:bookmarkEnd w:id="78"/>
      <w:bookmarkEnd w:id="79"/>
      <w:bookmarkEnd w:id="80"/>
    </w:p>
    <w:p w14:paraId="5C11C8D1">
      <w:pPr>
        <w:pStyle w:val="232"/>
      </w:pPr>
      <w:r>
        <w:rPr>
          <w:rFonts w:hint="eastAsia"/>
        </w:rPr>
        <w:t>由两种扇形板组成，将下支承板分成内、外两个环，外环由15个扇形板组成，内环由3个扇形板组成，每个扇形板由3组</w:t>
      </w:r>
      <w:r>
        <w:t>支承滚柱</w:t>
      </w:r>
      <w:r>
        <w:rPr>
          <w:rFonts w:hint="eastAsia"/>
        </w:rPr>
        <w:t>支承；它安装在</w:t>
      </w:r>
      <w:r>
        <w:t>支承滚柱组件</w:t>
      </w:r>
      <w:r>
        <w:rPr>
          <w:rFonts w:hint="eastAsia"/>
        </w:rPr>
        <w:t>上部，要支承陶瓷</w:t>
      </w:r>
      <w:r>
        <w:t>堆芯支承结构</w:t>
      </w:r>
      <w:r>
        <w:rPr>
          <w:rFonts w:hint="eastAsia"/>
        </w:rPr>
        <w:t>和燃料元件的重量。</w:t>
      </w:r>
    </w:p>
    <w:p w14:paraId="3151EA2B">
      <w:pPr>
        <w:pStyle w:val="107"/>
        <w:spacing w:before="156" w:after="156"/>
        <w:outlineLvl w:val="9"/>
      </w:pPr>
      <w:bookmarkStart w:id="81" w:name="_Toc234677816"/>
      <w:bookmarkEnd w:id="81"/>
      <w:bookmarkStart w:id="82" w:name="_Toc207715530"/>
    </w:p>
    <w:p w14:paraId="2E915135">
      <w:pPr>
        <w:pStyle w:val="107"/>
        <w:numPr>
          <w:ilvl w:val="255"/>
          <w:numId w:val="0"/>
        </w:numPr>
        <w:spacing w:before="156" w:after="156"/>
        <w:ind w:firstLine="420" w:firstLineChars="200"/>
        <w:outlineLvl w:val="9"/>
      </w:pPr>
      <w:bookmarkStart w:id="83" w:name="_Toc234677817"/>
      <w:r>
        <w:rPr>
          <w:rFonts w:hint="eastAsia"/>
        </w:rPr>
        <w:t>出球连接管限位环组件  ball outlet connection pipe limit ring assembly</w:t>
      </w:r>
      <w:bookmarkEnd w:id="82"/>
      <w:bookmarkEnd w:id="83"/>
    </w:p>
    <w:p w14:paraId="17E53313">
      <w:pPr>
        <w:pStyle w:val="232"/>
      </w:pPr>
      <w:r>
        <w:rPr>
          <w:rFonts w:hint="eastAsia"/>
        </w:rPr>
        <w:t>由1个内部屏蔽环限位环、配套螺钉和垫片组成；它安装在金属堆芯支承结构筒体底部，出球连接管限位环组件内侧为出球连接管组件。</w:t>
      </w:r>
    </w:p>
    <w:p w14:paraId="4EE52B0E">
      <w:pPr>
        <w:pStyle w:val="107"/>
        <w:spacing w:before="156" w:after="156"/>
        <w:outlineLvl w:val="9"/>
      </w:pPr>
      <w:bookmarkStart w:id="84" w:name="_Toc234677818"/>
      <w:bookmarkEnd w:id="84"/>
      <w:bookmarkStart w:id="85" w:name="_Toc207715531"/>
      <w:bookmarkStart w:id="86" w:name="_Toc17361631"/>
    </w:p>
    <w:p w14:paraId="48B1990B">
      <w:pPr>
        <w:pStyle w:val="107"/>
        <w:numPr>
          <w:ilvl w:val="255"/>
          <w:numId w:val="0"/>
        </w:numPr>
        <w:spacing w:before="156" w:after="156"/>
        <w:ind w:firstLine="420" w:firstLineChars="200"/>
        <w:outlineLvl w:val="9"/>
      </w:pPr>
      <w:bookmarkStart w:id="87" w:name="_Toc234677819"/>
      <w:r>
        <w:rPr>
          <w:rFonts w:hint="eastAsia"/>
        </w:rPr>
        <w:t>箍紧带  hoop strap</w:t>
      </w:r>
      <w:bookmarkEnd w:id="85"/>
      <w:bookmarkEnd w:id="86"/>
      <w:bookmarkEnd w:id="87"/>
    </w:p>
    <w:p w14:paraId="6049167B">
      <w:pPr>
        <w:pStyle w:val="232"/>
      </w:pPr>
      <w:r>
        <w:rPr>
          <w:rFonts w:hint="eastAsia"/>
        </w:rPr>
        <w:t>为防止陶瓷堆芯支承结构在地震等冲击载荷作用下破坏而设计，一共设有30圈箍紧带，箍紧带安装在上下两层陶瓷砖截面相交处。</w:t>
      </w:r>
    </w:p>
    <w:p w14:paraId="6EF06491">
      <w:pPr>
        <w:pStyle w:val="107"/>
        <w:spacing w:before="156" w:after="156"/>
        <w:outlineLvl w:val="9"/>
      </w:pPr>
      <w:bookmarkStart w:id="88" w:name="_Toc234677820"/>
      <w:bookmarkEnd w:id="88"/>
      <w:bookmarkStart w:id="89" w:name="_Toc207715532"/>
      <w:bookmarkStart w:id="90" w:name="_Toc17361632"/>
    </w:p>
    <w:p w14:paraId="174F007F">
      <w:pPr>
        <w:pStyle w:val="107"/>
        <w:numPr>
          <w:ilvl w:val="255"/>
          <w:numId w:val="0"/>
        </w:numPr>
        <w:spacing w:before="156" w:after="156"/>
        <w:ind w:firstLine="420" w:firstLineChars="200"/>
        <w:outlineLvl w:val="9"/>
      </w:pPr>
      <w:bookmarkStart w:id="91" w:name="_Toc234677821"/>
      <w:r>
        <w:rPr>
          <w:rFonts w:hint="eastAsia"/>
        </w:rPr>
        <w:t>防旋键  prevent whirl key</w:t>
      </w:r>
      <w:bookmarkEnd w:id="89"/>
      <w:bookmarkEnd w:id="90"/>
      <w:bookmarkEnd w:id="91"/>
    </w:p>
    <w:p w14:paraId="4CD2B851">
      <w:pPr>
        <w:pStyle w:val="232"/>
      </w:pPr>
      <w:r>
        <w:rPr>
          <w:rFonts w:hint="eastAsia"/>
        </w:rPr>
        <w:t>为防止陶瓷堆芯支承结构在地震等冲击载荷作用下发生移位、旋转而设计的，一共设有5排防旋键，防旋键用螺钉固定在堆芯壳筒身的内壁上，键前端插入碳砖径向缝隙的槽内。</w:t>
      </w:r>
    </w:p>
    <w:p w14:paraId="4AF5CD66">
      <w:pPr>
        <w:pStyle w:val="107"/>
        <w:spacing w:before="156" w:after="156"/>
        <w:outlineLvl w:val="9"/>
      </w:pPr>
      <w:bookmarkStart w:id="92" w:name="_Toc234677822"/>
      <w:bookmarkEnd w:id="92"/>
      <w:bookmarkStart w:id="93" w:name="_Toc17361633"/>
      <w:bookmarkStart w:id="94" w:name="_Toc207715533"/>
    </w:p>
    <w:p w14:paraId="52D590F4">
      <w:pPr>
        <w:pStyle w:val="107"/>
        <w:numPr>
          <w:ilvl w:val="255"/>
          <w:numId w:val="0"/>
        </w:numPr>
        <w:spacing w:before="156" w:after="156"/>
        <w:ind w:firstLine="420" w:firstLineChars="200"/>
        <w:outlineLvl w:val="9"/>
      </w:pPr>
      <w:bookmarkStart w:id="95" w:name="_Toc234677823"/>
      <w:r>
        <w:rPr>
          <w:rFonts w:hint="eastAsia"/>
        </w:rPr>
        <w:t>定位板  Positioning plate</w:t>
      </w:r>
      <w:bookmarkEnd w:id="93"/>
      <w:bookmarkEnd w:id="94"/>
      <w:bookmarkEnd w:id="95"/>
    </w:p>
    <w:p w14:paraId="6626C4BE">
      <w:pPr>
        <w:pStyle w:val="232"/>
      </w:pPr>
      <w:r>
        <w:rPr>
          <w:rFonts w:hint="eastAsia"/>
        </w:rPr>
        <w:t>为在顶部支承碳砖结构，定位板本身用堆芯壳上法兰段内表面的限位键进行支承。</w:t>
      </w:r>
    </w:p>
    <w:p w14:paraId="7856A0A2">
      <w:pPr>
        <w:pStyle w:val="107"/>
        <w:spacing w:before="156" w:after="156"/>
        <w:outlineLvl w:val="9"/>
      </w:pPr>
      <w:bookmarkStart w:id="96" w:name="_Toc234677824"/>
      <w:bookmarkEnd w:id="96"/>
      <w:bookmarkStart w:id="97" w:name="_Toc17361634"/>
      <w:bookmarkStart w:id="98" w:name="_Toc207715534"/>
    </w:p>
    <w:p w14:paraId="2E5D7178">
      <w:pPr>
        <w:pStyle w:val="107"/>
        <w:numPr>
          <w:ilvl w:val="255"/>
          <w:numId w:val="0"/>
        </w:numPr>
        <w:spacing w:before="156" w:after="156"/>
        <w:ind w:firstLine="420" w:firstLineChars="200"/>
        <w:outlineLvl w:val="9"/>
      </w:pPr>
      <w:bookmarkStart w:id="99" w:name="_Toc234677825"/>
      <w:r>
        <w:rPr>
          <w:rFonts w:hint="eastAsia"/>
        </w:rPr>
        <w:t>限位工字钢  Limited I type steel</w:t>
      </w:r>
      <w:bookmarkEnd w:id="97"/>
      <w:bookmarkEnd w:id="98"/>
      <w:bookmarkEnd w:id="99"/>
    </w:p>
    <w:p w14:paraId="51D6E3EE">
      <w:pPr>
        <w:pStyle w:val="232"/>
        <w:rPr>
          <w:rStyle w:val="31"/>
          <w:rFonts w:hint="eastAsia" w:hAnsi="宋体"/>
          <w:bCs w:val="0"/>
        </w:rPr>
      </w:pPr>
      <w:r>
        <w:rPr>
          <w:rFonts w:hint="eastAsia"/>
        </w:rPr>
        <w:t>为防止陶瓷堆芯支承结构在堆芯壳内产生过大的水平移动，在堆芯壳筒身的内壁上、下各安装一排限位工字钢，用螺钉固定在筒身的内壁上，在安装条件下其前端与碳砖外表面应留有间隙（补偿热胀），地震或冲击条件下可能接触，防止过多位移。</w:t>
      </w:r>
    </w:p>
    <w:p w14:paraId="3BF30B69">
      <w:pPr>
        <w:pStyle w:val="107"/>
        <w:spacing w:before="156" w:after="156"/>
        <w:outlineLvl w:val="9"/>
      </w:pPr>
      <w:bookmarkStart w:id="100" w:name="_Toc234677826"/>
      <w:bookmarkEnd w:id="100"/>
      <w:bookmarkStart w:id="101" w:name="_Toc17361635"/>
      <w:bookmarkStart w:id="102" w:name="_Toc207715535"/>
    </w:p>
    <w:p w14:paraId="76098ED6">
      <w:pPr>
        <w:pStyle w:val="107"/>
        <w:numPr>
          <w:ilvl w:val="255"/>
          <w:numId w:val="0"/>
        </w:numPr>
        <w:spacing w:before="156" w:after="156"/>
        <w:ind w:firstLine="420" w:firstLineChars="200"/>
        <w:outlineLvl w:val="9"/>
      </w:pPr>
      <w:bookmarkStart w:id="103" w:name="_Toc234677827"/>
      <w:r>
        <w:rPr>
          <w:rFonts w:hint="eastAsia"/>
        </w:rPr>
        <w:t>上支承板阻流环组件  upper support plate flow stop ring module</w:t>
      </w:r>
      <w:bookmarkEnd w:id="101"/>
      <w:bookmarkEnd w:id="102"/>
      <w:bookmarkEnd w:id="103"/>
    </w:p>
    <w:p w14:paraId="67B9A3D2">
      <w:pPr>
        <w:pStyle w:val="232"/>
      </w:pPr>
      <w:r>
        <w:rPr>
          <w:rFonts w:hint="eastAsia"/>
        </w:rPr>
        <w:t>为限制氦气在压力容器和上支承板接口处上下流动而设置的。</w:t>
      </w:r>
    </w:p>
    <w:p w14:paraId="57CEA7B3">
      <w:pPr>
        <w:pStyle w:val="107"/>
        <w:spacing w:before="156" w:after="156"/>
        <w:outlineLvl w:val="9"/>
      </w:pPr>
      <w:bookmarkStart w:id="104" w:name="_Toc234677828"/>
      <w:bookmarkEnd w:id="104"/>
      <w:bookmarkStart w:id="105" w:name="_Toc207715536"/>
    </w:p>
    <w:p w14:paraId="2E0453E6">
      <w:pPr>
        <w:pStyle w:val="107"/>
        <w:numPr>
          <w:ilvl w:val="255"/>
          <w:numId w:val="0"/>
        </w:numPr>
        <w:spacing w:before="156" w:after="156"/>
        <w:ind w:firstLine="420" w:firstLineChars="200"/>
        <w:outlineLvl w:val="9"/>
      </w:pPr>
      <w:bookmarkStart w:id="106" w:name="_Toc234677829"/>
      <w:r>
        <w:rPr>
          <w:rFonts w:hint="eastAsia"/>
        </w:rPr>
        <w:t>下支承板阻流环组件  lower support plate flow stop ring module</w:t>
      </w:r>
      <w:bookmarkEnd w:id="105"/>
      <w:bookmarkEnd w:id="106"/>
    </w:p>
    <w:p w14:paraId="7713582C">
      <w:pPr>
        <w:pStyle w:val="232"/>
      </w:pPr>
      <w:r>
        <w:rPr>
          <w:rFonts w:hint="eastAsia"/>
        </w:rPr>
        <w:t>为限制氦气在堆芯壳和下支承板接口处上下流动而设置的。</w:t>
      </w:r>
    </w:p>
    <w:p w14:paraId="3C2A83F9">
      <w:pPr>
        <w:pStyle w:val="107"/>
        <w:spacing w:before="156" w:after="156"/>
        <w:outlineLvl w:val="9"/>
      </w:pPr>
      <w:bookmarkStart w:id="107" w:name="_Toc234677830"/>
      <w:bookmarkEnd w:id="107"/>
      <w:bookmarkStart w:id="108" w:name="_Toc207715537"/>
    </w:p>
    <w:p w14:paraId="4615C830">
      <w:pPr>
        <w:pStyle w:val="107"/>
        <w:numPr>
          <w:ilvl w:val="255"/>
          <w:numId w:val="0"/>
        </w:numPr>
        <w:spacing w:before="156" w:after="156"/>
        <w:ind w:firstLine="420" w:firstLineChars="200"/>
        <w:outlineLvl w:val="9"/>
      </w:pPr>
      <w:bookmarkStart w:id="109" w:name="_Toc234677831"/>
      <w:r>
        <w:rPr>
          <w:rFonts w:hint="eastAsia"/>
        </w:rPr>
        <w:t>压板阻流环组件  platen flow stop ring module</w:t>
      </w:r>
      <w:bookmarkEnd w:id="108"/>
      <w:bookmarkEnd w:id="109"/>
    </w:p>
    <w:p w14:paraId="4CADC662">
      <w:pPr>
        <w:pStyle w:val="232"/>
      </w:pPr>
      <w:r>
        <w:rPr>
          <w:rFonts w:hint="eastAsia"/>
        </w:rPr>
        <w:t>为限制氦气在堆芯壳和压板接口处上下流动而设置的。</w:t>
      </w:r>
    </w:p>
    <w:p w14:paraId="41A07B7D">
      <w:pPr>
        <w:pStyle w:val="107"/>
        <w:spacing w:before="156" w:after="156"/>
        <w:outlineLvl w:val="9"/>
      </w:pPr>
      <w:bookmarkStart w:id="110" w:name="_Toc234677832"/>
      <w:bookmarkEnd w:id="110"/>
      <w:bookmarkStart w:id="111" w:name="_Toc207715538"/>
    </w:p>
    <w:p w14:paraId="44AE34BD">
      <w:pPr>
        <w:pStyle w:val="107"/>
        <w:numPr>
          <w:ilvl w:val="255"/>
          <w:numId w:val="0"/>
        </w:numPr>
        <w:spacing w:before="156" w:after="156"/>
        <w:ind w:firstLine="420" w:firstLineChars="200"/>
        <w:outlineLvl w:val="9"/>
      </w:pPr>
      <w:bookmarkStart w:id="112" w:name="_Toc234677833"/>
      <w:r>
        <w:rPr>
          <w:rFonts w:hint="eastAsia"/>
        </w:rPr>
        <w:t>金属堆芯构阻流组件  metal core flow stop module</w:t>
      </w:r>
      <w:bookmarkEnd w:id="111"/>
      <w:bookmarkEnd w:id="112"/>
    </w:p>
    <w:p w14:paraId="6A2A17B1">
      <w:pPr>
        <w:pStyle w:val="232"/>
      </w:pPr>
      <w:r>
        <w:rPr>
          <w:rFonts w:hint="eastAsia"/>
        </w:rPr>
        <w:t>为限制氦气在金属堆芯和石墨堆芯的孔道与管件之间的缝隙处上下流动而设置的。</w:t>
      </w:r>
    </w:p>
    <w:p w14:paraId="6BDBC3C1">
      <w:pPr>
        <w:pStyle w:val="107"/>
        <w:spacing w:before="156" w:after="156"/>
        <w:outlineLvl w:val="9"/>
      </w:pPr>
      <w:bookmarkStart w:id="113" w:name="_Toc234677834"/>
      <w:bookmarkEnd w:id="113"/>
      <w:bookmarkStart w:id="114" w:name="_Toc207715539"/>
      <w:bookmarkStart w:id="115" w:name="_Toc17473222"/>
    </w:p>
    <w:p w14:paraId="68F1B6E0">
      <w:pPr>
        <w:pStyle w:val="107"/>
        <w:numPr>
          <w:ilvl w:val="255"/>
          <w:numId w:val="0"/>
        </w:numPr>
        <w:spacing w:before="156" w:after="156"/>
        <w:ind w:firstLine="420" w:firstLineChars="200"/>
        <w:outlineLvl w:val="9"/>
      </w:pPr>
      <w:bookmarkStart w:id="116" w:name="_Toc234677835"/>
      <w:r>
        <w:rPr>
          <w:rFonts w:hint="eastAsia"/>
        </w:rPr>
        <w:t>热气室  hot chamber</w:t>
      </w:r>
      <w:bookmarkEnd w:id="114"/>
      <w:bookmarkEnd w:id="115"/>
      <w:bookmarkEnd w:id="116"/>
    </w:p>
    <w:p w14:paraId="1C01A1A5">
      <w:pPr>
        <w:pStyle w:val="232"/>
      </w:pPr>
      <w:r>
        <w:rPr>
          <w:rFonts w:hint="eastAsia"/>
        </w:rPr>
        <w:t>底反射层最下面三层石墨砖之内的环形空间，朝热气导管方向有由矩型到圆型过渡的孔道，热的氦气在这里集中，然后流向热气导管。</w:t>
      </w:r>
    </w:p>
    <w:p w14:paraId="05A2EA7F">
      <w:pPr>
        <w:pStyle w:val="107"/>
        <w:spacing w:before="156" w:after="156"/>
        <w:outlineLvl w:val="9"/>
      </w:pPr>
      <w:bookmarkStart w:id="117" w:name="_Toc234677836"/>
      <w:bookmarkEnd w:id="117"/>
      <w:bookmarkStart w:id="118" w:name="_Toc17473224"/>
      <w:bookmarkStart w:id="119" w:name="_Toc207715540"/>
    </w:p>
    <w:p w14:paraId="560ABC6A">
      <w:pPr>
        <w:pStyle w:val="107"/>
        <w:numPr>
          <w:ilvl w:val="255"/>
          <w:numId w:val="0"/>
        </w:numPr>
        <w:spacing w:before="156" w:after="156"/>
        <w:ind w:firstLine="420" w:firstLineChars="200"/>
        <w:outlineLvl w:val="9"/>
      </w:pPr>
      <w:bookmarkStart w:id="120" w:name="_Toc234677837"/>
      <w:r>
        <w:rPr>
          <w:rFonts w:hint="eastAsia"/>
        </w:rPr>
        <w:t>控制棒导向孔道  control rod hole</w:t>
      </w:r>
      <w:bookmarkEnd w:id="118"/>
      <w:bookmarkEnd w:id="119"/>
      <w:bookmarkEnd w:id="120"/>
    </w:p>
    <w:p w14:paraId="74EB03C6">
      <w:pPr>
        <w:pStyle w:val="232"/>
      </w:pPr>
      <w:r>
        <w:rPr>
          <w:rFonts w:hint="eastAsia"/>
        </w:rPr>
        <w:t>保证高温气冷堆控制棒自由上提、下落，在靠近反应堆活性区的石墨侧反射层中均匀设置了8组Φ130mm的孔道，孔道内有套筒，底部设有减震器。</w:t>
      </w:r>
    </w:p>
    <w:p w14:paraId="76FCB7E4">
      <w:pPr>
        <w:pStyle w:val="107"/>
        <w:spacing w:before="156" w:after="156"/>
        <w:outlineLvl w:val="9"/>
      </w:pPr>
      <w:bookmarkStart w:id="121" w:name="_Toc234677838"/>
      <w:bookmarkEnd w:id="121"/>
      <w:bookmarkStart w:id="122" w:name="_Toc17473225"/>
      <w:bookmarkStart w:id="123" w:name="_Toc207715541"/>
    </w:p>
    <w:p w14:paraId="5827947F">
      <w:pPr>
        <w:pStyle w:val="107"/>
        <w:numPr>
          <w:ilvl w:val="255"/>
          <w:numId w:val="0"/>
        </w:numPr>
        <w:spacing w:before="156" w:after="156"/>
        <w:ind w:firstLine="420" w:firstLineChars="200"/>
        <w:outlineLvl w:val="9"/>
      </w:pPr>
      <w:bookmarkStart w:id="124" w:name="_Toc234677839"/>
      <w:r>
        <w:rPr>
          <w:rFonts w:hint="eastAsia"/>
        </w:rPr>
        <w:t>吸收球导向孔道  neutron absorption sphere hole</w:t>
      </w:r>
      <w:bookmarkEnd w:id="122"/>
      <w:bookmarkEnd w:id="123"/>
      <w:bookmarkEnd w:id="124"/>
    </w:p>
    <w:p w14:paraId="0178B0EB">
      <w:pPr>
        <w:pStyle w:val="232"/>
      </w:pPr>
      <w:r>
        <w:rPr>
          <w:rFonts w:hint="eastAsia"/>
        </w:rPr>
        <w:t>保证高温气冷堆吸收球循环输送，在靠近反应堆活性区的石墨侧反射层中22块石墨砖各开有2个孔道，上端和下端为Φ60mm的圆孔，在堆芯活性区域内孔道截面积为90×60mm。</w:t>
      </w:r>
    </w:p>
    <w:p w14:paraId="0E27E69D">
      <w:pPr>
        <w:pStyle w:val="107"/>
        <w:spacing w:before="156" w:after="156"/>
        <w:outlineLvl w:val="9"/>
      </w:pPr>
      <w:bookmarkStart w:id="125" w:name="_Toc234677840"/>
      <w:bookmarkEnd w:id="125"/>
      <w:bookmarkStart w:id="126" w:name="_Toc276716507"/>
      <w:bookmarkStart w:id="127" w:name="_Toc17473226"/>
      <w:bookmarkStart w:id="128" w:name="_Toc207715542"/>
    </w:p>
    <w:p w14:paraId="2BC6D434">
      <w:pPr>
        <w:pStyle w:val="107"/>
        <w:numPr>
          <w:ilvl w:val="255"/>
          <w:numId w:val="0"/>
        </w:numPr>
        <w:spacing w:before="156" w:after="156"/>
        <w:ind w:firstLine="420" w:firstLineChars="200"/>
        <w:outlineLvl w:val="9"/>
      </w:pPr>
      <w:bookmarkStart w:id="129" w:name="_Toc234677841"/>
      <w:r>
        <w:rPr>
          <w:rFonts w:hint="eastAsia"/>
        </w:rPr>
        <w:t>顶绝热层</w:t>
      </w:r>
      <w:bookmarkEnd w:id="126"/>
      <w:r>
        <w:rPr>
          <w:rFonts w:hint="eastAsia"/>
        </w:rPr>
        <w:t xml:space="preserve">  top heat insulation</w:t>
      </w:r>
      <w:bookmarkEnd w:id="127"/>
      <w:bookmarkEnd w:id="128"/>
      <w:bookmarkEnd w:id="129"/>
    </w:p>
    <w:p w14:paraId="05C79298">
      <w:pPr>
        <w:pStyle w:val="232"/>
      </w:pPr>
      <w:r>
        <w:rPr>
          <w:rFonts w:hint="eastAsia"/>
        </w:rPr>
        <w:t>由</w:t>
      </w:r>
      <w:r>
        <w:t>30</w:t>
      </w:r>
      <w:r>
        <w:rPr>
          <w:rFonts w:hint="eastAsia"/>
        </w:rPr>
        <w:t>块厚为</w:t>
      </w:r>
      <w:r>
        <w:t>400mm</w:t>
      </w:r>
      <w:r>
        <w:rPr>
          <w:rFonts w:hint="eastAsia"/>
        </w:rPr>
        <w:t>，长为</w:t>
      </w:r>
      <w:r>
        <w:t>2100mm</w:t>
      </w:r>
      <w:r>
        <w:rPr>
          <w:rFonts w:hint="eastAsia"/>
        </w:rPr>
        <w:t>的扇型碳砖组成环形结构，叠摞在顶反射层的上方，中央有碳砖塞的一层，其中</w:t>
      </w:r>
      <w:r>
        <w:t>8</w:t>
      </w:r>
      <w:r>
        <w:rPr>
          <w:rFonts w:hint="eastAsia"/>
        </w:rPr>
        <w:t>个碳砖上有控制棒孔道，</w:t>
      </w:r>
      <w:r>
        <w:t>22</w:t>
      </w:r>
      <w:r>
        <w:rPr>
          <w:rFonts w:hint="eastAsia"/>
        </w:rPr>
        <w:t>个碳砖上有吸收球孔道。</w:t>
      </w:r>
    </w:p>
    <w:p w14:paraId="544F75D2">
      <w:pPr>
        <w:pStyle w:val="107"/>
        <w:spacing w:before="156" w:after="156"/>
        <w:outlineLvl w:val="9"/>
      </w:pPr>
      <w:bookmarkStart w:id="130" w:name="_Toc234677842"/>
      <w:bookmarkEnd w:id="130"/>
      <w:bookmarkStart w:id="131" w:name="_Toc207715543"/>
      <w:bookmarkStart w:id="132" w:name="_Toc17473227"/>
    </w:p>
    <w:p w14:paraId="0767DC03">
      <w:pPr>
        <w:pStyle w:val="107"/>
        <w:numPr>
          <w:ilvl w:val="255"/>
          <w:numId w:val="0"/>
        </w:numPr>
        <w:spacing w:before="156" w:after="156"/>
        <w:ind w:firstLine="420" w:firstLineChars="200"/>
        <w:outlineLvl w:val="9"/>
      </w:pPr>
      <w:bookmarkStart w:id="133" w:name="_Toc234677843"/>
      <w:r>
        <w:rPr>
          <w:rFonts w:hint="eastAsia"/>
        </w:rPr>
        <w:t>顶反射层  top reflector</w:t>
      </w:r>
      <w:bookmarkEnd w:id="131"/>
      <w:bookmarkEnd w:id="132"/>
      <w:bookmarkEnd w:id="133"/>
    </w:p>
    <w:p w14:paraId="36700B4C">
      <w:pPr>
        <w:pStyle w:val="232"/>
      </w:pPr>
      <w:r>
        <w:rPr>
          <w:rFonts w:hint="eastAsia"/>
        </w:rPr>
        <w:t>石墨堆芯支承结构最上面4层石墨砖，石墨砖的大头放在侧反射层的石墨砖上，中央有两层石墨塞。上三层石墨砖均厚为400 mm，下层石墨砖厚为300 mm。</w:t>
      </w:r>
    </w:p>
    <w:p w14:paraId="036E42E5">
      <w:pPr>
        <w:pStyle w:val="107"/>
        <w:spacing w:before="156" w:after="156"/>
        <w:outlineLvl w:val="9"/>
      </w:pPr>
      <w:bookmarkStart w:id="134" w:name="_Toc234677844"/>
      <w:bookmarkEnd w:id="134"/>
      <w:bookmarkStart w:id="135" w:name="_Toc276716508"/>
      <w:bookmarkStart w:id="136" w:name="_Toc17473228"/>
      <w:bookmarkStart w:id="137" w:name="_Toc207715544"/>
    </w:p>
    <w:p w14:paraId="38090E54">
      <w:pPr>
        <w:pStyle w:val="107"/>
        <w:numPr>
          <w:ilvl w:val="255"/>
          <w:numId w:val="0"/>
        </w:numPr>
        <w:spacing w:before="156" w:after="156"/>
        <w:ind w:firstLine="420" w:firstLineChars="200"/>
        <w:outlineLvl w:val="9"/>
      </w:pPr>
      <w:bookmarkStart w:id="138" w:name="_Toc234677845"/>
      <w:r>
        <w:rPr>
          <w:rFonts w:hint="eastAsia"/>
        </w:rPr>
        <w:t>侧绝热层</w:t>
      </w:r>
      <w:bookmarkEnd w:id="135"/>
      <w:r>
        <w:rPr>
          <w:rFonts w:hint="eastAsia"/>
        </w:rPr>
        <w:t xml:space="preserve">  side heat insulation</w:t>
      </w:r>
      <w:bookmarkEnd w:id="136"/>
      <w:bookmarkEnd w:id="137"/>
      <w:bookmarkEnd w:id="138"/>
    </w:p>
    <w:p w14:paraId="4E777CC3">
      <w:pPr>
        <w:pStyle w:val="232"/>
      </w:pPr>
      <w:r>
        <w:rPr>
          <w:rFonts w:hint="eastAsia"/>
        </w:rPr>
        <w:t>位于侧石墨反射层的外围，每一层由</w:t>
      </w:r>
      <w:r>
        <w:t>30</w:t>
      </w:r>
      <w:r>
        <w:rPr>
          <w:rFonts w:hint="eastAsia"/>
        </w:rPr>
        <w:t>个扇形碳砖组成，大多数层碳砖厚度为</w:t>
      </w:r>
      <w:r>
        <w:t>400mm</w:t>
      </w:r>
      <w:r>
        <w:rPr>
          <w:rFonts w:hint="eastAsia"/>
        </w:rPr>
        <w:t>，扇形夹角为</w:t>
      </w:r>
      <w:r>
        <w:t>12</w:t>
      </w:r>
      <w:r>
        <w:rPr>
          <w:rFonts w:hint="eastAsia"/>
        </w:rPr>
        <w:t>°。</w:t>
      </w:r>
    </w:p>
    <w:p w14:paraId="58FA3348">
      <w:pPr>
        <w:pStyle w:val="107"/>
        <w:spacing w:before="156" w:after="156"/>
        <w:outlineLvl w:val="9"/>
      </w:pPr>
      <w:bookmarkStart w:id="139" w:name="_Toc234677846"/>
      <w:bookmarkEnd w:id="139"/>
      <w:bookmarkStart w:id="140" w:name="_Toc17473229"/>
      <w:bookmarkStart w:id="141" w:name="_Toc207715545"/>
    </w:p>
    <w:p w14:paraId="118E4752">
      <w:pPr>
        <w:pStyle w:val="107"/>
        <w:numPr>
          <w:ilvl w:val="255"/>
          <w:numId w:val="0"/>
        </w:numPr>
        <w:spacing w:before="156" w:after="156"/>
        <w:ind w:firstLine="420" w:firstLineChars="200"/>
        <w:outlineLvl w:val="9"/>
      </w:pPr>
      <w:bookmarkStart w:id="142" w:name="_Toc234677847"/>
      <w:r>
        <w:rPr>
          <w:rFonts w:hint="eastAsia"/>
        </w:rPr>
        <w:t>侧反射层  side reflector</w:t>
      </w:r>
      <w:bookmarkEnd w:id="140"/>
      <w:bookmarkEnd w:id="141"/>
      <w:bookmarkEnd w:id="142"/>
    </w:p>
    <w:p w14:paraId="1A52D96D">
      <w:pPr>
        <w:pStyle w:val="232"/>
      </w:pPr>
      <w:r>
        <w:rPr>
          <w:rFonts w:hint="eastAsia"/>
        </w:rPr>
        <w:t>每一层30个扇形石墨砖组成环形直圆筒结构，它上面支承着顶反射层结构和顶绝热碳砖结构，底部坐在石墨堆芯支承结构的热气室部结构上，内部包容堆芯和连接底反射层结构，外部连接侧碳砖绝热层结构。</w:t>
      </w:r>
    </w:p>
    <w:p w14:paraId="776BECC2">
      <w:pPr>
        <w:pStyle w:val="107"/>
        <w:spacing w:before="156" w:after="156"/>
        <w:outlineLvl w:val="9"/>
      </w:pPr>
      <w:bookmarkStart w:id="143" w:name="_Toc234677848"/>
      <w:bookmarkEnd w:id="143"/>
      <w:bookmarkStart w:id="144" w:name="_Toc276716509"/>
      <w:bookmarkStart w:id="145" w:name="_Toc17473230"/>
      <w:bookmarkStart w:id="146" w:name="_Toc207715546"/>
    </w:p>
    <w:p w14:paraId="0266B73B">
      <w:pPr>
        <w:pStyle w:val="107"/>
        <w:numPr>
          <w:ilvl w:val="255"/>
          <w:numId w:val="0"/>
        </w:numPr>
        <w:spacing w:before="156" w:after="156"/>
        <w:ind w:firstLine="420" w:firstLineChars="200"/>
        <w:outlineLvl w:val="9"/>
      </w:pPr>
      <w:bookmarkStart w:id="147" w:name="_Toc234677849"/>
      <w:r>
        <w:rPr>
          <w:rFonts w:hint="eastAsia"/>
        </w:rPr>
        <w:t>底绝热层</w:t>
      </w:r>
      <w:bookmarkEnd w:id="144"/>
      <w:r>
        <w:rPr>
          <w:rFonts w:hint="eastAsia"/>
        </w:rPr>
        <w:t xml:space="preserve">  bottom heat insulation</w:t>
      </w:r>
      <w:bookmarkEnd w:id="145"/>
      <w:bookmarkEnd w:id="146"/>
      <w:bookmarkEnd w:id="147"/>
    </w:p>
    <w:p w14:paraId="39900383">
      <w:pPr>
        <w:pStyle w:val="232"/>
      </w:pPr>
      <w:r>
        <w:rPr>
          <w:rFonts w:hint="eastAsia"/>
        </w:rPr>
        <w:t>位于碳堆芯支承结构底部，支撑石墨堆芯支承结构和侧绝热层，共由</w:t>
      </w:r>
      <w:r>
        <w:t>2</w:t>
      </w:r>
      <w:r>
        <w:rPr>
          <w:rFonts w:hint="eastAsia"/>
        </w:rPr>
        <w:t>层厚为</w:t>
      </w:r>
      <w:r>
        <w:t>400mm</w:t>
      </w:r>
      <w:r>
        <w:rPr>
          <w:rFonts w:hint="eastAsia"/>
        </w:rPr>
        <w:t>碳砖组成，每层碳砖在径向方向上分为</w:t>
      </w:r>
      <w:r>
        <w:t>3</w:t>
      </w:r>
      <w:r>
        <w:rPr>
          <w:rFonts w:hint="eastAsia"/>
        </w:rPr>
        <w:t>组环形结构，外围两组各由</w:t>
      </w:r>
      <w:r>
        <w:t xml:space="preserve">30 </w:t>
      </w:r>
      <w:r>
        <w:rPr>
          <w:rFonts w:hint="eastAsia"/>
        </w:rPr>
        <w:t>块扇形碳砖组成，而内组则由</w:t>
      </w:r>
      <w:r>
        <w:t>15</w:t>
      </w:r>
      <w:r>
        <w:rPr>
          <w:rFonts w:hint="eastAsia"/>
        </w:rPr>
        <w:t>个碳砖组成。</w:t>
      </w:r>
    </w:p>
    <w:p w14:paraId="64E39175">
      <w:pPr>
        <w:pStyle w:val="107"/>
        <w:spacing w:before="156" w:after="156"/>
        <w:outlineLvl w:val="9"/>
      </w:pPr>
      <w:bookmarkStart w:id="148" w:name="_Toc234677850"/>
      <w:bookmarkEnd w:id="148"/>
      <w:bookmarkStart w:id="149" w:name="_Toc17473231"/>
      <w:bookmarkStart w:id="150" w:name="_Toc207715547"/>
    </w:p>
    <w:p w14:paraId="09501052">
      <w:pPr>
        <w:pStyle w:val="107"/>
        <w:numPr>
          <w:ilvl w:val="255"/>
          <w:numId w:val="0"/>
        </w:numPr>
        <w:spacing w:before="156" w:after="156"/>
        <w:ind w:firstLine="420" w:firstLineChars="200"/>
        <w:outlineLvl w:val="9"/>
      </w:pPr>
      <w:bookmarkStart w:id="151" w:name="_Toc234677851"/>
      <w:r>
        <w:rPr>
          <w:rFonts w:hint="eastAsia"/>
        </w:rPr>
        <w:t>底反射层  bottom reflector</w:t>
      </w:r>
      <w:bookmarkEnd w:id="149"/>
      <w:bookmarkEnd w:id="150"/>
      <w:bookmarkEnd w:id="151"/>
    </w:p>
    <w:p w14:paraId="5F8ED2F5">
      <w:pPr>
        <w:pStyle w:val="232"/>
      </w:pPr>
      <w:r>
        <w:rPr>
          <w:rFonts w:hint="eastAsia"/>
        </w:rPr>
        <w:t>位于侧反射层下部的内侧，坐在石墨热气室结构层，热气室也包括在底部结构内，其上表面是漏斗状的，与水平面的夹角为30°。</w:t>
      </w:r>
    </w:p>
    <w:p w14:paraId="053FF18D">
      <w:pPr>
        <w:pStyle w:val="107"/>
        <w:spacing w:before="156" w:after="156"/>
        <w:outlineLvl w:val="9"/>
      </w:pPr>
      <w:bookmarkStart w:id="152" w:name="_Toc234677852"/>
      <w:bookmarkEnd w:id="152"/>
      <w:bookmarkStart w:id="153" w:name="_Toc207715548"/>
      <w:bookmarkStart w:id="154" w:name="_Toc17473232"/>
    </w:p>
    <w:p w14:paraId="01225AF6">
      <w:pPr>
        <w:pStyle w:val="107"/>
        <w:numPr>
          <w:ilvl w:val="255"/>
          <w:numId w:val="0"/>
        </w:numPr>
        <w:spacing w:before="156" w:after="156"/>
        <w:ind w:firstLine="420" w:firstLineChars="200"/>
        <w:outlineLvl w:val="9"/>
      </w:pPr>
      <w:bookmarkStart w:id="155" w:name="_Toc234677853"/>
      <w:r>
        <w:rPr>
          <w:rFonts w:hint="eastAsia"/>
        </w:rPr>
        <w:t>中子源孔道  neutron hole</w:t>
      </w:r>
      <w:bookmarkEnd w:id="153"/>
      <w:bookmarkEnd w:id="154"/>
      <w:bookmarkEnd w:id="155"/>
    </w:p>
    <w:p w14:paraId="1E082D57">
      <w:pPr>
        <w:pStyle w:val="232"/>
      </w:pPr>
      <w:r>
        <w:rPr>
          <w:rFonts w:hint="eastAsia"/>
        </w:rPr>
        <w:t>侧反射层中四个石墨砖上，在冷氦气孔道和吸收球孔道之间，开有直径为φ50mm的孔道，其深度一直通到堆芯高度的下部。其中一个放置中子源，三个放置中子计数管。</w:t>
      </w:r>
    </w:p>
    <w:p w14:paraId="3AC02F42">
      <w:pPr>
        <w:pStyle w:val="107"/>
        <w:spacing w:before="156" w:after="156"/>
        <w:outlineLvl w:val="9"/>
      </w:pPr>
      <w:bookmarkStart w:id="156" w:name="_Toc234677854"/>
      <w:bookmarkEnd w:id="156"/>
      <w:bookmarkStart w:id="157" w:name="_Toc207715549"/>
      <w:bookmarkStart w:id="158" w:name="_Toc17473233"/>
    </w:p>
    <w:p w14:paraId="79E1D558">
      <w:pPr>
        <w:pStyle w:val="107"/>
        <w:numPr>
          <w:ilvl w:val="255"/>
          <w:numId w:val="0"/>
        </w:numPr>
        <w:spacing w:before="156" w:after="156"/>
        <w:ind w:firstLine="420" w:firstLineChars="200"/>
        <w:outlineLvl w:val="9"/>
      </w:pPr>
      <w:bookmarkStart w:id="159" w:name="_Toc234677855"/>
      <w:r>
        <w:rPr>
          <w:rFonts w:hint="eastAsia"/>
        </w:rPr>
        <w:t>各向异性比  anisotropy ratio</w:t>
      </w:r>
      <w:bookmarkEnd w:id="157"/>
      <w:bookmarkEnd w:id="158"/>
      <w:bookmarkEnd w:id="159"/>
    </w:p>
    <w:p w14:paraId="67C29BBC">
      <w:pPr>
        <w:pStyle w:val="232"/>
      </w:pPr>
      <w:r>
        <w:rPr>
          <w:rFonts w:hint="eastAsia"/>
        </w:rPr>
        <w:t>热胀系数在垂直晶格(取向)方向和平行晶格(取向)方向上的比值。</w:t>
      </w:r>
    </w:p>
    <w:p w14:paraId="2FDD646C">
      <w:pPr>
        <w:pStyle w:val="107"/>
        <w:spacing w:before="156" w:after="156"/>
        <w:outlineLvl w:val="9"/>
      </w:pPr>
      <w:bookmarkStart w:id="160" w:name="_Toc234677856"/>
      <w:bookmarkEnd w:id="160"/>
      <w:bookmarkStart w:id="161" w:name="_Toc207715550"/>
      <w:bookmarkStart w:id="162" w:name="_Toc17473234"/>
    </w:p>
    <w:p w14:paraId="5B625701">
      <w:pPr>
        <w:pStyle w:val="107"/>
        <w:numPr>
          <w:ilvl w:val="255"/>
          <w:numId w:val="0"/>
        </w:numPr>
        <w:spacing w:before="156" w:after="156"/>
        <w:ind w:firstLine="420" w:firstLineChars="200"/>
        <w:outlineLvl w:val="9"/>
      </w:pPr>
      <w:bookmarkStart w:id="163" w:name="_Toc234677857"/>
      <w:r>
        <w:rPr>
          <w:rFonts w:hint="eastAsia"/>
        </w:rPr>
        <w:t>冷氦气孔道  cold helium hole</w:t>
      </w:r>
      <w:bookmarkEnd w:id="161"/>
      <w:bookmarkEnd w:id="162"/>
      <w:bookmarkEnd w:id="163"/>
    </w:p>
    <w:p w14:paraId="66B09E0C">
      <w:pPr>
        <w:pStyle w:val="232"/>
      </w:pPr>
      <w:r>
        <w:rPr>
          <w:rFonts w:hint="eastAsia"/>
        </w:rPr>
        <w:t>石墨堆芯支承结构中每层靠近碳砖的30个石墨砖的外侧都开有一个直径为Φ180mm的孔道，冷氦气通过这些孔道由热气导管进入冷气室。</w:t>
      </w:r>
    </w:p>
    <w:p w14:paraId="20AC26A6">
      <w:pPr>
        <w:pStyle w:val="107"/>
        <w:spacing w:before="156" w:after="156"/>
        <w:outlineLvl w:val="9"/>
      </w:pPr>
      <w:bookmarkStart w:id="164" w:name="_Toc234677858"/>
      <w:bookmarkEnd w:id="164"/>
      <w:bookmarkStart w:id="165" w:name="_Toc17473236"/>
      <w:bookmarkStart w:id="166" w:name="_Toc207715551"/>
    </w:p>
    <w:p w14:paraId="0753848D">
      <w:pPr>
        <w:pStyle w:val="107"/>
        <w:numPr>
          <w:ilvl w:val="255"/>
          <w:numId w:val="0"/>
        </w:numPr>
        <w:spacing w:before="156" w:after="156"/>
        <w:ind w:firstLine="420" w:firstLineChars="200"/>
        <w:outlineLvl w:val="9"/>
      </w:pPr>
      <w:bookmarkStart w:id="167" w:name="_Toc234677859"/>
      <w:r>
        <w:rPr>
          <w:rFonts w:hint="eastAsia"/>
        </w:rPr>
        <w:t>碳砖和石墨堆芯支承结构  carbon-graphite internal</w:t>
      </w:r>
      <w:bookmarkEnd w:id="165"/>
      <w:bookmarkEnd w:id="166"/>
      <w:bookmarkEnd w:id="167"/>
    </w:p>
    <w:p w14:paraId="24E97069">
      <w:pPr>
        <w:pStyle w:val="58"/>
        <w:ind w:firstLine="420"/>
        <w:rPr>
          <w:rFonts w:hint="eastAsia"/>
        </w:rPr>
      </w:pPr>
      <w:r>
        <w:rPr>
          <w:rFonts w:hint="eastAsia"/>
        </w:rPr>
        <w:t>主要由顶碳砖绝热层、侧碳砖绝热层和底碳砖绝热层组成近似为多边形的圆筒形结构，其高度为</w:t>
      </w:r>
      <w:r>
        <w:t>16800mm</w:t>
      </w:r>
      <w:r>
        <w:rPr>
          <w:rFonts w:hint="eastAsia"/>
        </w:rPr>
        <w:t>，对边距离为</w:t>
      </w:r>
      <w:r>
        <w:t>5000mm</w:t>
      </w:r>
      <w:r>
        <w:rPr>
          <w:rFonts w:hint="eastAsia"/>
        </w:rPr>
        <w:t>；内部空腔主要作为中子反射层，由顶反射层、侧反射层、底反射层、冷室和热气室结构组成的堆芯的支承结构，在反射层里布置有控制棒导向孔道、吸收球导向孔道、冷氦气孔道和中子源孔道。</w:t>
      </w:r>
    </w:p>
    <w:p w14:paraId="6B4B90AE">
      <w:pPr>
        <w:pStyle w:val="106"/>
        <w:spacing w:before="312" w:after="312"/>
      </w:pPr>
      <w:bookmarkStart w:id="168" w:name="_Toc234677860"/>
      <w:bookmarkStart w:id="169" w:name="_Toc5538"/>
      <w:bookmarkStart w:id="170" w:name="_Toc207715552"/>
      <w:r>
        <w:rPr>
          <w:rFonts w:hint="eastAsia"/>
        </w:rPr>
        <w:t>一般要求</w:t>
      </w:r>
      <w:bookmarkEnd w:id="168"/>
      <w:bookmarkEnd w:id="169"/>
      <w:bookmarkEnd w:id="170"/>
    </w:p>
    <w:p w14:paraId="4CFA5D6B">
      <w:pPr>
        <w:pStyle w:val="107"/>
        <w:spacing w:before="156" w:after="156"/>
      </w:pPr>
      <w:bookmarkStart w:id="171" w:name="_Toc17361637"/>
      <w:bookmarkStart w:id="172" w:name="_Toc444086053"/>
      <w:bookmarkStart w:id="173" w:name="_Toc234677861"/>
      <w:bookmarkStart w:id="174" w:name="_Toc16875"/>
      <w:bookmarkStart w:id="175" w:name="_Toc207715553"/>
      <w:r>
        <w:rPr>
          <w:rFonts w:hint="eastAsia"/>
        </w:rPr>
        <w:t>人员</w:t>
      </w:r>
      <w:bookmarkEnd w:id="171"/>
      <w:bookmarkEnd w:id="172"/>
      <w:bookmarkEnd w:id="173"/>
      <w:bookmarkEnd w:id="174"/>
      <w:bookmarkEnd w:id="175"/>
    </w:p>
    <w:p w14:paraId="3BDEB59A">
      <w:pPr>
        <w:pStyle w:val="234"/>
        <w:numPr>
          <w:ilvl w:val="255"/>
          <w:numId w:val="0"/>
        </w:numPr>
        <w:ind w:left="426" w:leftChars="203" w:firstLine="12" w:firstLineChars="6"/>
      </w:pPr>
      <w:r>
        <w:rPr>
          <w:rFonts w:hint="eastAsia"/>
        </w:rPr>
        <w:t>安装人员应满足以下要求：</w:t>
      </w:r>
    </w:p>
    <w:p w14:paraId="69E9A5B7">
      <w:pPr>
        <w:pStyle w:val="234"/>
        <w:numPr>
          <w:ilvl w:val="255"/>
          <w:numId w:val="0"/>
        </w:numPr>
        <w:ind w:left="828" w:leftChars="200"/>
      </w:pPr>
      <w:r>
        <w:rPr>
          <w:rFonts w:hint="eastAsia"/>
        </w:rPr>
        <w:t>——参加安装的主要人员应经过培训、考核，并获得正式资格认定。核级设备焊工和无损检验人员应根据HAF603、HAF602的规定，取得相应的资质证书，并在有效期内；</w:t>
      </w:r>
    </w:p>
    <w:p w14:paraId="43875657">
      <w:pPr>
        <w:pStyle w:val="234"/>
        <w:numPr>
          <w:ilvl w:val="255"/>
          <w:numId w:val="0"/>
        </w:numPr>
        <w:ind w:left="828" w:leftChars="200"/>
      </w:pPr>
      <w:r>
        <w:rPr>
          <w:rFonts w:hint="eastAsia"/>
        </w:rPr>
        <w:t>——施工人员应具有堆芯支承结构安装工作技能；</w:t>
      </w:r>
    </w:p>
    <w:p w14:paraId="3A0820EC">
      <w:pPr>
        <w:pStyle w:val="234"/>
        <w:numPr>
          <w:ilvl w:val="255"/>
          <w:numId w:val="0"/>
        </w:numPr>
        <w:ind w:left="828" w:leftChars="200"/>
      </w:pPr>
      <w:r>
        <w:rPr>
          <w:rFonts w:hint="eastAsia"/>
        </w:rPr>
        <w:t>——工作人员应有专用的工作服。工作服应作统一规定。工作服应定期清洗、保持干净。工作人员经过更衣室才能进入安装现场。</w:t>
      </w:r>
    </w:p>
    <w:p w14:paraId="64E3C4FD">
      <w:pPr>
        <w:pStyle w:val="107"/>
        <w:spacing w:before="156" w:after="156"/>
      </w:pPr>
      <w:bookmarkStart w:id="176" w:name="_Toc16933"/>
      <w:bookmarkStart w:id="177" w:name="_Toc17361638"/>
      <w:bookmarkStart w:id="178" w:name="_Toc207715554"/>
      <w:bookmarkStart w:id="179" w:name="_Toc234677862"/>
      <w:r>
        <w:rPr>
          <w:rFonts w:hint="eastAsia"/>
        </w:rPr>
        <w:t>文件</w:t>
      </w:r>
      <w:bookmarkEnd w:id="176"/>
      <w:bookmarkEnd w:id="177"/>
      <w:bookmarkEnd w:id="178"/>
      <w:bookmarkEnd w:id="179"/>
    </w:p>
    <w:p w14:paraId="11091426">
      <w:pPr>
        <w:pStyle w:val="232"/>
      </w:pPr>
      <w:r>
        <w:rPr>
          <w:rFonts w:hint="eastAsia"/>
        </w:rPr>
        <w:t>安装相关的设计文件有效，安装单位所编写的安装文件，如安装程序、工作规程和质量计划等经过了审查和批准，并处于可执行状态。</w:t>
      </w:r>
    </w:p>
    <w:p w14:paraId="2456C169">
      <w:pPr>
        <w:pStyle w:val="107"/>
        <w:spacing w:before="156" w:after="156"/>
      </w:pPr>
      <w:bookmarkStart w:id="180" w:name="_Toc17361639"/>
      <w:bookmarkStart w:id="181" w:name="_Toc234677863"/>
      <w:bookmarkStart w:id="182" w:name="_Toc444086055"/>
      <w:bookmarkStart w:id="183" w:name="_Toc207715555"/>
      <w:bookmarkStart w:id="184" w:name="_Toc5930"/>
      <w:r>
        <w:rPr>
          <w:rFonts w:hint="eastAsia"/>
        </w:rPr>
        <w:t>工机具</w:t>
      </w:r>
      <w:bookmarkEnd w:id="180"/>
      <w:bookmarkEnd w:id="181"/>
      <w:bookmarkEnd w:id="182"/>
      <w:bookmarkEnd w:id="183"/>
      <w:bookmarkEnd w:id="184"/>
    </w:p>
    <w:p w14:paraId="2F469730">
      <w:pPr>
        <w:pStyle w:val="234"/>
        <w:numPr>
          <w:ilvl w:val="255"/>
          <w:numId w:val="0"/>
        </w:numPr>
        <w:ind w:left="828" w:leftChars="200" w:right="420" w:rightChars="200"/>
        <w:rPr>
          <w:rFonts w:cs="宋体"/>
          <w:color w:val="000000"/>
        </w:rPr>
      </w:pPr>
      <w:r>
        <w:rPr>
          <w:rFonts w:hint="eastAsia" w:cs="宋体"/>
          <w:color w:val="000000"/>
        </w:rPr>
        <w:t>安装工级具应满足以下要求：</w:t>
      </w:r>
    </w:p>
    <w:p w14:paraId="4222CF33">
      <w:pPr>
        <w:pStyle w:val="234"/>
        <w:numPr>
          <w:ilvl w:val="255"/>
          <w:numId w:val="0"/>
        </w:numPr>
        <w:ind w:left="828" w:leftChars="200" w:right="420" w:rightChars="200"/>
        <w:rPr>
          <w:rFonts w:cs="宋体"/>
          <w:color w:val="000000"/>
        </w:rPr>
      </w:pPr>
      <w:r>
        <w:rPr>
          <w:rFonts w:hint="eastAsia"/>
          <w:kern w:val="2"/>
        </w:rPr>
        <w:t>——使用的起吊设备及必需的专用操作工具应准备齐全，状态良好，符合相关的标准及技术文件的要求；</w:t>
      </w:r>
    </w:p>
    <w:p w14:paraId="4C73AB4C">
      <w:pPr>
        <w:pStyle w:val="234"/>
        <w:numPr>
          <w:ilvl w:val="255"/>
          <w:numId w:val="0"/>
        </w:numPr>
        <w:ind w:left="828" w:leftChars="200" w:right="420" w:rightChars="200"/>
      </w:pPr>
      <w:r>
        <w:rPr>
          <w:rFonts w:hint="eastAsia"/>
        </w:rPr>
        <w:t>——计量器具的精度、量程应符合安装作业规程的要求，检定合格并在有效期内；</w:t>
      </w:r>
    </w:p>
    <w:p w14:paraId="0C7F5F4D">
      <w:pPr>
        <w:pStyle w:val="234"/>
        <w:numPr>
          <w:ilvl w:val="255"/>
          <w:numId w:val="0"/>
        </w:numPr>
        <w:ind w:left="828" w:leftChars="200" w:right="420" w:rightChars="200"/>
      </w:pPr>
      <w:r>
        <w:rPr>
          <w:rFonts w:hint="eastAsia"/>
        </w:rPr>
        <w:t>——各种耗材应已备齐，且质量证明文件齐全；</w:t>
      </w:r>
    </w:p>
    <w:p w14:paraId="0D77B48A">
      <w:pPr>
        <w:pStyle w:val="234"/>
        <w:numPr>
          <w:ilvl w:val="255"/>
          <w:numId w:val="0"/>
        </w:numPr>
        <w:ind w:left="828" w:leftChars="200" w:right="420" w:rightChars="200"/>
      </w:pPr>
      <w:r>
        <w:rPr>
          <w:rFonts w:hint="eastAsia"/>
        </w:rPr>
        <w:t>——所有安装工具和吊具应清洗干净，其上不许有遗留物。工具未使用时应保存在专用的工具柜内。</w:t>
      </w:r>
    </w:p>
    <w:p w14:paraId="4455C203">
      <w:pPr>
        <w:pStyle w:val="107"/>
        <w:spacing w:before="156" w:after="156"/>
      </w:pPr>
      <w:bookmarkStart w:id="185" w:name="_Toc234677864"/>
      <w:bookmarkStart w:id="186" w:name="_Toc444086056"/>
      <w:bookmarkStart w:id="187" w:name="_Toc10291"/>
      <w:bookmarkStart w:id="188" w:name="_Toc17361640"/>
      <w:bookmarkStart w:id="189" w:name="_Toc207715556"/>
      <w:r>
        <w:rPr>
          <w:rFonts w:hint="eastAsia"/>
        </w:rPr>
        <w:t>环境</w:t>
      </w:r>
      <w:bookmarkEnd w:id="185"/>
      <w:bookmarkEnd w:id="186"/>
      <w:bookmarkEnd w:id="187"/>
      <w:bookmarkEnd w:id="188"/>
      <w:bookmarkEnd w:id="189"/>
    </w:p>
    <w:p w14:paraId="2900C98E">
      <w:pPr>
        <w:pStyle w:val="232"/>
      </w:pPr>
      <w:r>
        <w:rPr>
          <w:rFonts w:hint="eastAsia"/>
        </w:rPr>
        <w:t>堆芯支承结构安装环境条件应满足安装阶段施工现场清洁及清洁度的相关技术要求。</w:t>
      </w:r>
      <w:r>
        <w:rPr>
          <w:rFonts w:hint="eastAsia" w:cs="宋体"/>
          <w:color w:val="000000"/>
        </w:rPr>
        <w:t>分为</w:t>
      </w:r>
      <w:r>
        <w:rPr>
          <w:rFonts w:hint="eastAsia"/>
        </w:rPr>
        <w:t>金属堆芯支承结构清洁检查和石墨和碳堆芯支承结构清洁检查两类。</w:t>
      </w:r>
    </w:p>
    <w:p w14:paraId="1E41059C">
      <w:pPr>
        <w:pStyle w:val="67"/>
        <w:spacing w:before="156" w:after="156"/>
      </w:pPr>
      <w:r>
        <w:rPr>
          <w:rFonts w:hint="eastAsia"/>
        </w:rPr>
        <w:t>金属堆芯支承结构清洁检查准则</w:t>
      </w:r>
    </w:p>
    <w:p w14:paraId="3F80EDEA">
      <w:pPr>
        <w:pStyle w:val="245"/>
        <w:numPr>
          <w:ilvl w:val="0"/>
          <w:numId w:val="0"/>
        </w:numPr>
        <w:rPr>
          <w:rFonts w:hint="eastAsia" w:ascii="黑体" w:hAnsi="黑体" w:eastAsia="黑体" w:cs="黑体"/>
        </w:rPr>
      </w:pPr>
      <w:r>
        <w:rPr>
          <w:rFonts w:hint="eastAsia" w:ascii="黑体" w:hAnsi="黑体" w:eastAsia="黑体" w:cs="黑体"/>
          <w:color w:val="333333"/>
        </w:rPr>
        <w:t>4.4.1.1 耐腐蚀关键表面的检查准则</w:t>
      </w:r>
    </w:p>
    <w:p w14:paraId="50340558">
      <w:pPr>
        <w:spacing w:line="240" w:lineRule="auto"/>
        <w:ind w:firstLine="420" w:firstLineChars="200"/>
      </w:pPr>
      <w:r>
        <w:rPr>
          <w:rFonts w:hint="eastAsia" w:ascii="宋体" w:hAnsi="Times New Roman"/>
          <w:kern w:val="0"/>
          <w:szCs w:val="20"/>
        </w:rPr>
        <w:t>应十分重视在耐腐蚀材料的关键表面上产生的任何类型或数量的铁锈。如果锈是明显的，则应清洗表面，以便除去锈或生锈的条件及任何可见的表面污染物。对于残留的污染物是否从关键表面上完全除去，应用湿布试验来校验。这种试验是用一块A级水浸润过的干净布来覆盖或包裹上述的表面。如果在6h内未生锈，则认为该表面是合格的 。如果湿布试验之后，有锈点存在但它可以用干净的干布擦拭掉且无可见的蚀痕，则认为全部锈除去后的表面也是合格的。</w:t>
      </w:r>
      <w:r>
        <w:rPr>
          <w:rFonts w:hint="eastAsia"/>
        </w:rPr>
        <w:t xml:space="preserve"> </w:t>
      </w:r>
    </w:p>
    <w:p w14:paraId="76BDEAEA">
      <w:pPr>
        <w:pStyle w:val="245"/>
        <w:numPr>
          <w:ilvl w:val="0"/>
          <w:numId w:val="0"/>
        </w:numPr>
        <w:rPr>
          <w:rFonts w:hint="eastAsia" w:ascii="黑体" w:hAnsi="黑体" w:eastAsia="黑体" w:cs="黑体"/>
          <w:color w:val="333333"/>
        </w:rPr>
      </w:pPr>
      <w:r>
        <w:rPr>
          <w:rFonts w:hint="eastAsia" w:ascii="黑体" w:hAnsi="黑体" w:eastAsia="黑体" w:cs="黑体"/>
          <w:color w:val="333333"/>
        </w:rPr>
        <w:t>4.4.1.2 耐腐蚀非关键表面的检查准则</w:t>
      </w:r>
    </w:p>
    <w:p w14:paraId="6EEA0D10">
      <w:pPr>
        <w:pStyle w:val="245"/>
        <w:numPr>
          <w:ilvl w:val="0"/>
          <w:numId w:val="0"/>
        </w:numPr>
        <w:ind w:firstLine="420" w:firstLineChars="200"/>
        <w:rPr>
          <w:rFonts w:hint="eastAsia" w:hAnsi="宋体" w:cs="宋体"/>
          <w:color w:val="333333"/>
          <w:szCs w:val="21"/>
        </w:rPr>
      </w:pPr>
      <w:r>
        <w:rPr>
          <w:rFonts w:hint="eastAsia" w:hAnsi="宋体" w:cs="宋体"/>
          <w:color w:val="333333"/>
          <w:szCs w:val="21"/>
        </w:rPr>
        <w:t>耐腐蚀非关键表面检查应满足以下要求：</w:t>
      </w:r>
    </w:p>
    <w:p w14:paraId="24041AF9">
      <w:pPr>
        <w:pStyle w:val="250"/>
        <w:widowControl/>
        <w:numPr>
          <w:ilvl w:val="0"/>
          <w:numId w:val="21"/>
        </w:numPr>
        <w:spacing w:line="240" w:lineRule="auto"/>
        <w:ind w:left="850" w:hanging="425" w:firstLineChars="0"/>
        <w:jc w:val="left"/>
        <w:rPr>
          <w:rFonts w:hint="eastAsia" w:ascii="宋体" w:hAnsi="宋体" w:cs="宋体"/>
          <w:color w:val="333333"/>
          <w:kern w:val="0"/>
        </w:rPr>
      </w:pPr>
      <w:r>
        <w:rPr>
          <w:rFonts w:hint="eastAsia" w:ascii="宋体" w:hAnsi="宋体" w:cs="宋体"/>
          <w:color w:val="333333"/>
          <w:kern w:val="0"/>
        </w:rPr>
        <w:t xml:space="preserve">耐腐蚀材料的最后清洗过的非关键表面上的锈膜，如果表面上无可见的腐蚀痕迹，以及锈膜的总面积对于重要应用的零件不超过计算总表面积的1%、对于非重要应用的零件不超过计算总表面积的10%，则认为是合格的； </w:t>
      </w:r>
    </w:p>
    <w:p w14:paraId="4C8B752F">
      <w:pPr>
        <w:pStyle w:val="250"/>
        <w:widowControl/>
        <w:numPr>
          <w:ilvl w:val="0"/>
          <w:numId w:val="21"/>
        </w:numPr>
        <w:spacing w:line="240" w:lineRule="auto"/>
        <w:ind w:left="850" w:hanging="425" w:firstLineChars="0"/>
        <w:jc w:val="left"/>
        <w:rPr>
          <w:rFonts w:hint="eastAsia" w:ascii="宋体" w:hAnsi="宋体" w:cs="宋体"/>
          <w:color w:val="333333"/>
          <w:kern w:val="0"/>
        </w:rPr>
      </w:pPr>
      <w:r>
        <w:rPr>
          <w:rFonts w:hint="eastAsia" w:ascii="宋体" w:hAnsi="宋体" w:cs="宋体"/>
          <w:color w:val="333333"/>
          <w:kern w:val="0"/>
        </w:rPr>
        <w:t xml:space="preserve">可以把表面红色的、褐色的或黑色的污斑看作为薄的锈膜。观察到的锈可以是局部的或是普遍的，即锈可以斑点或条纹的形式存在，也可以连续锈膜的形式存在。对于局部生锈的范围，应用涉及的总计面积（生锈面积加涉及的未生锈面积）来确定有关的百分率，而不仅仅是观察到的实际面积。这些锈膜不一定都是粘附的，在许多情况下，用清洁的干布擦拭即可除去。 </w:t>
      </w:r>
    </w:p>
    <w:p w14:paraId="1D1B64CB">
      <w:pPr>
        <w:pStyle w:val="245"/>
        <w:numPr>
          <w:ilvl w:val="255"/>
          <w:numId w:val="0"/>
        </w:numPr>
        <w:rPr>
          <w:rFonts w:hint="eastAsia" w:ascii="黑体" w:hAnsi="黑体" w:eastAsia="黑体" w:cs="黑体"/>
        </w:rPr>
      </w:pPr>
      <w:r>
        <w:rPr>
          <w:rFonts w:hint="eastAsia" w:ascii="黑体" w:hAnsi="黑体" w:eastAsia="黑体" w:cs="黑体"/>
          <w:color w:val="333333"/>
        </w:rPr>
        <w:t>4.4.1.3 非耐腐蚀材料清洁的检查准则</w:t>
      </w:r>
    </w:p>
    <w:p w14:paraId="3EF6759F">
      <w:pPr>
        <w:widowControl/>
        <w:spacing w:line="240" w:lineRule="auto"/>
        <w:ind w:firstLine="420" w:firstLineChars="200"/>
        <w:jc w:val="left"/>
        <w:rPr>
          <w:rFonts w:hint="eastAsia" w:ascii="宋体" w:hAnsi="宋体" w:cs="宋体"/>
          <w:kern w:val="0"/>
        </w:rPr>
      </w:pPr>
      <w:r>
        <w:rPr>
          <w:rFonts w:hint="eastAsia" w:ascii="宋体" w:hAnsi="宋体" w:cs="宋体"/>
          <w:color w:val="333333"/>
          <w:kern w:val="0"/>
        </w:rPr>
        <w:t xml:space="preserve">表面必须无锈皮、油或其它杂质。一种粘附的外表面薄锈，例如因短时间暴露于大气中而引起的锈是可接受的。 </w:t>
      </w:r>
    </w:p>
    <w:p w14:paraId="100B1F3E">
      <w:pPr>
        <w:pStyle w:val="250"/>
        <w:widowControl/>
        <w:numPr>
          <w:ilvl w:val="0"/>
          <w:numId w:val="21"/>
        </w:numPr>
        <w:spacing w:line="240" w:lineRule="auto"/>
        <w:ind w:left="850" w:hanging="425" w:firstLineChars="0"/>
        <w:jc w:val="left"/>
        <w:rPr>
          <w:rFonts w:hint="eastAsia" w:ascii="宋体" w:hAnsi="宋体" w:cs="宋体"/>
          <w:kern w:val="0"/>
        </w:rPr>
      </w:pPr>
      <w:r>
        <w:rPr>
          <w:rFonts w:hint="eastAsia" w:ascii="宋体" w:hAnsi="宋体" w:cs="宋体"/>
          <w:color w:val="333333"/>
          <w:kern w:val="0"/>
        </w:rPr>
        <w:t>采用RCC-MF篇F6000中的定义，耐蚀表面指不锈钢或镍基合金表面，非耐蚀表面指碳钢、低合金钢和某些铬不锈钢表面；</w:t>
      </w:r>
    </w:p>
    <w:p w14:paraId="15BA5622">
      <w:pPr>
        <w:pStyle w:val="234"/>
        <w:numPr>
          <w:ilvl w:val="0"/>
          <w:numId w:val="21"/>
        </w:numPr>
        <w:rPr>
          <w:szCs w:val="21"/>
        </w:rPr>
      </w:pPr>
      <w:r>
        <w:rPr>
          <w:rFonts w:hint="eastAsia" w:hAnsi="宋体" w:cs="宋体"/>
          <w:color w:val="333333"/>
          <w:szCs w:val="21"/>
        </w:rPr>
        <w:t>采用RCC-MF篇F6000中的定义，关键性表面包括：①热交换器管表面；②承受摩擦的表面，诸如轴承、枢轴、支承表面、密封接触面等。其它表面为非关键性表面。</w:t>
      </w:r>
    </w:p>
    <w:p w14:paraId="28870A34">
      <w:pPr>
        <w:pStyle w:val="67"/>
        <w:spacing w:before="156" w:after="156"/>
      </w:pPr>
      <w:r>
        <w:rPr>
          <w:rFonts w:hint="eastAsia"/>
        </w:rPr>
        <w:t>石墨和碳堆芯支承结构清洁检查准则</w:t>
      </w:r>
    </w:p>
    <w:p w14:paraId="5F9F3B0A">
      <w:pPr>
        <w:pStyle w:val="58"/>
        <w:ind w:firstLine="420"/>
      </w:pPr>
      <w:r>
        <w:rPr>
          <w:rFonts w:hint="eastAsia" w:hAnsi="宋体" w:cs="宋体"/>
          <w:color w:val="333333"/>
          <w:szCs w:val="21"/>
        </w:rPr>
        <w:t>石墨和碳堆芯支承结构清洁检查准则应满足以下要求：</w:t>
      </w:r>
    </w:p>
    <w:p w14:paraId="7AA8D9C7">
      <w:pPr>
        <w:pStyle w:val="234"/>
        <w:numPr>
          <w:ilvl w:val="0"/>
          <w:numId w:val="21"/>
        </w:numPr>
        <w:rPr>
          <w:rFonts w:hint="eastAsia" w:hAnsi="宋体" w:cs="宋体"/>
          <w:color w:val="333333"/>
          <w:szCs w:val="21"/>
        </w:rPr>
      </w:pPr>
      <w:r>
        <w:rPr>
          <w:rFonts w:hint="eastAsia" w:hAnsi="宋体" w:cs="宋体"/>
          <w:color w:val="333333"/>
          <w:szCs w:val="21"/>
        </w:rPr>
        <w:t>用目视检查的方法看不出任何污染物的存在；</w:t>
      </w:r>
    </w:p>
    <w:p w14:paraId="3AB79DC1">
      <w:pPr>
        <w:pStyle w:val="234"/>
        <w:numPr>
          <w:ilvl w:val="0"/>
          <w:numId w:val="21"/>
        </w:numPr>
        <w:rPr>
          <w:rFonts w:hint="eastAsia" w:hAnsi="宋体" w:cs="宋体"/>
          <w:color w:val="333333"/>
          <w:szCs w:val="21"/>
        </w:rPr>
      </w:pPr>
      <w:r>
        <w:rPr>
          <w:rFonts w:hint="eastAsia" w:hAnsi="宋体" w:cs="宋体"/>
          <w:color w:val="333333"/>
          <w:szCs w:val="21"/>
        </w:rPr>
        <w:t>擦拭后不得在表面留下肉眼可见的布纤维和绒毛；</w:t>
      </w:r>
    </w:p>
    <w:p w14:paraId="312BD5B2">
      <w:pPr>
        <w:pStyle w:val="234"/>
        <w:numPr>
          <w:ilvl w:val="0"/>
          <w:numId w:val="21"/>
        </w:numPr>
        <w:rPr>
          <w:rFonts w:hint="eastAsia" w:hAnsi="宋体" w:cs="宋体"/>
          <w:color w:val="333333"/>
          <w:szCs w:val="21"/>
        </w:rPr>
      </w:pPr>
      <w:r>
        <w:rPr>
          <w:rFonts w:hint="eastAsia" w:hAnsi="宋体" w:cs="宋体"/>
          <w:color w:val="333333"/>
          <w:szCs w:val="21"/>
        </w:rPr>
        <w:t>擦拭后使石墨部件的表面保持图纸所要求的粗糙度。</w:t>
      </w:r>
    </w:p>
    <w:p w14:paraId="79B1ECAC">
      <w:pPr>
        <w:pStyle w:val="67"/>
        <w:spacing w:before="156" w:after="156"/>
      </w:pPr>
      <w:r>
        <w:rPr>
          <w:rFonts w:hint="eastAsia"/>
        </w:rPr>
        <w:t>其他要求</w:t>
      </w:r>
    </w:p>
    <w:p w14:paraId="39D1689D">
      <w:pPr>
        <w:pStyle w:val="58"/>
        <w:ind w:firstLine="420"/>
      </w:pPr>
      <w:r>
        <w:rPr>
          <w:rFonts w:hint="eastAsia"/>
        </w:rPr>
        <w:t>除金属堆芯支承结构清洁检查和石墨和碳堆芯支承结构清洁检查，还应满足以下要求：</w:t>
      </w:r>
    </w:p>
    <w:p w14:paraId="31A718B1">
      <w:pPr>
        <w:pStyle w:val="234"/>
        <w:numPr>
          <w:ilvl w:val="0"/>
          <w:numId w:val="21"/>
        </w:numPr>
        <w:rPr>
          <w:rFonts w:hint="eastAsia" w:hAnsi="宋体" w:cs="宋体"/>
          <w:color w:val="333333"/>
          <w:szCs w:val="21"/>
        </w:rPr>
      </w:pPr>
      <w:r>
        <w:rPr>
          <w:rFonts w:hint="eastAsia" w:hAnsi="宋体" w:cs="宋体"/>
          <w:color w:val="333333"/>
          <w:szCs w:val="21"/>
        </w:rPr>
        <w:t>安装现场的水、电源、照明等均应满足安装要求；</w:t>
      </w:r>
    </w:p>
    <w:p w14:paraId="726B06FA">
      <w:pPr>
        <w:pStyle w:val="234"/>
        <w:numPr>
          <w:ilvl w:val="0"/>
          <w:numId w:val="21"/>
        </w:numPr>
        <w:rPr>
          <w:rFonts w:hint="eastAsia" w:hAnsi="宋体" w:cs="宋体"/>
          <w:color w:val="333333"/>
          <w:szCs w:val="21"/>
        </w:rPr>
      </w:pPr>
      <w:r>
        <w:rPr>
          <w:rFonts w:hint="eastAsia" w:hAnsi="宋体" w:cs="宋体"/>
          <w:color w:val="333333"/>
          <w:szCs w:val="21"/>
        </w:rPr>
        <w:t>安装现场影响安装的物件均已拆除，现场清理完毕，并采取必要的措施，保证相关的工作区域和设备满足规定的清洁度要求；</w:t>
      </w:r>
    </w:p>
    <w:p w14:paraId="0EF7AC5E">
      <w:pPr>
        <w:pStyle w:val="234"/>
        <w:numPr>
          <w:ilvl w:val="0"/>
          <w:numId w:val="21"/>
        </w:numPr>
        <w:rPr>
          <w:rFonts w:hint="eastAsia" w:hAnsi="宋体" w:cs="宋体"/>
          <w:color w:val="333333"/>
          <w:szCs w:val="21"/>
        </w:rPr>
      </w:pPr>
      <w:r>
        <w:rPr>
          <w:rFonts w:hint="eastAsia" w:hAnsi="宋体" w:cs="宋体"/>
          <w:color w:val="333333"/>
          <w:szCs w:val="21"/>
        </w:rPr>
        <w:t>安装现场清洁区已经建立，水、电、环境等均能满足安装需要，安装现场须按照存放、准备、安装和运输需要划分严格的功能区，功能区的清洁等级必须满足相关技术要求；</w:t>
      </w:r>
    </w:p>
    <w:p w14:paraId="4E9C5C41">
      <w:pPr>
        <w:pStyle w:val="234"/>
        <w:numPr>
          <w:ilvl w:val="0"/>
          <w:numId w:val="21"/>
        </w:numPr>
        <w:rPr>
          <w:rFonts w:hint="eastAsia" w:hAnsi="宋体" w:cs="宋体"/>
          <w:color w:val="333333"/>
          <w:szCs w:val="21"/>
        </w:rPr>
      </w:pPr>
      <w:r>
        <w:rPr>
          <w:rFonts w:hint="eastAsia" w:hAnsi="宋体" w:cs="宋体"/>
          <w:color w:val="333333"/>
          <w:szCs w:val="21"/>
        </w:rPr>
        <w:t>安装区内的湿度应在65%以内，以限制湿气的凝结；</w:t>
      </w:r>
    </w:p>
    <w:p w14:paraId="5F8BF5BD">
      <w:pPr>
        <w:pStyle w:val="234"/>
        <w:numPr>
          <w:ilvl w:val="0"/>
          <w:numId w:val="21"/>
        </w:numPr>
        <w:rPr>
          <w:rFonts w:hint="eastAsia" w:hAnsi="宋体" w:cs="宋体"/>
          <w:color w:val="333333"/>
          <w:szCs w:val="21"/>
        </w:rPr>
      </w:pPr>
      <w:r>
        <w:rPr>
          <w:rFonts w:hint="eastAsia" w:hAnsi="宋体" w:cs="宋体"/>
          <w:color w:val="333333"/>
          <w:szCs w:val="21"/>
        </w:rPr>
        <w:t>设备在安装阶段应采取必要的防火措施，确保在安装期间火灾的可能后果不会对被安装设备的性能产生影响。</w:t>
      </w:r>
    </w:p>
    <w:p w14:paraId="175F427B">
      <w:pPr>
        <w:pStyle w:val="107"/>
        <w:spacing w:before="156" w:after="156"/>
      </w:pPr>
      <w:bookmarkStart w:id="190" w:name="_Toc20798"/>
      <w:bookmarkStart w:id="191" w:name="_Toc207715557"/>
      <w:bookmarkStart w:id="192" w:name="_Toc431211350"/>
      <w:bookmarkStart w:id="193" w:name="_Toc305157685"/>
      <w:bookmarkStart w:id="194" w:name="_Toc17361641"/>
      <w:bookmarkStart w:id="195" w:name="_Toc234677865"/>
      <w:bookmarkStart w:id="196" w:name="_Toc444086057"/>
      <w:r>
        <w:rPr>
          <w:rFonts w:hint="eastAsia"/>
        </w:rPr>
        <w:t>安装前检查</w:t>
      </w:r>
      <w:bookmarkEnd w:id="190"/>
      <w:bookmarkEnd w:id="191"/>
      <w:bookmarkEnd w:id="192"/>
      <w:bookmarkEnd w:id="193"/>
      <w:bookmarkEnd w:id="194"/>
      <w:bookmarkEnd w:id="195"/>
      <w:bookmarkEnd w:id="196"/>
    </w:p>
    <w:p w14:paraId="3C8634F6">
      <w:pPr>
        <w:pStyle w:val="58"/>
        <w:ind w:firstLine="0" w:firstLineChars="0"/>
        <w:rPr>
          <w:rFonts w:hint="eastAsia" w:ascii="黑体" w:hAnsi="黑体" w:eastAsia="黑体" w:cs="黑体"/>
        </w:rPr>
      </w:pPr>
      <w:r>
        <w:rPr>
          <w:rFonts w:hint="eastAsia" w:ascii="黑体" w:hAnsi="黑体" w:eastAsia="黑体" w:cs="黑体"/>
        </w:rPr>
        <w:t>4.5.1 安装前检查内容</w:t>
      </w:r>
    </w:p>
    <w:p w14:paraId="03AA97C3">
      <w:pPr>
        <w:pStyle w:val="58"/>
        <w:autoSpaceDE/>
        <w:autoSpaceDN/>
        <w:ind w:right="420" w:rightChars="200" w:firstLine="420"/>
      </w:pPr>
      <w:r>
        <w:rPr>
          <w:rFonts w:hint="eastAsia"/>
        </w:rPr>
        <w:t>安装前应完成以下检查：</w:t>
      </w:r>
    </w:p>
    <w:p w14:paraId="428CD7E0">
      <w:pPr>
        <w:pStyle w:val="234"/>
        <w:numPr>
          <w:ilvl w:val="255"/>
          <w:numId w:val="0"/>
        </w:numPr>
        <w:ind w:left="840" w:leftChars="200" w:hanging="420" w:hangingChars="200"/>
      </w:pPr>
      <w:r>
        <w:rPr>
          <w:rFonts w:hint="eastAsia"/>
        </w:rPr>
        <w:t>——现场相关部门完成现场验收工作，确认堆内构构件的制造资料：如竣工图纸、制造质量证明文件、零部件清单等均已齐备；</w:t>
      </w:r>
    </w:p>
    <w:p w14:paraId="30428385">
      <w:pPr>
        <w:pStyle w:val="234"/>
        <w:numPr>
          <w:ilvl w:val="255"/>
          <w:numId w:val="0"/>
        </w:numPr>
        <w:ind w:left="840" w:leftChars="200" w:hanging="420" w:hangingChars="200"/>
      </w:pPr>
      <w:r>
        <w:rPr>
          <w:rFonts w:hint="eastAsia"/>
        </w:rPr>
        <w:t>——确认堆芯支承结构所有零部件在运输及保存期间的质量未受不良影响，外观质量检查应符合要求，确认设备的备品、工具、附件等均已齐备；</w:t>
      </w:r>
    </w:p>
    <w:p w14:paraId="02BC4250">
      <w:pPr>
        <w:pStyle w:val="234"/>
        <w:numPr>
          <w:ilvl w:val="255"/>
          <w:numId w:val="0"/>
        </w:numPr>
        <w:ind w:left="840" w:leftChars="200" w:hanging="420" w:hangingChars="200"/>
      </w:pPr>
      <w:r>
        <w:rPr>
          <w:rFonts w:hint="eastAsia"/>
        </w:rPr>
        <w:t>——金属堆芯支承结构中易于变形的堆芯壳、各种板、金属波纹管件和箍紧带等，均安放在各自的支承架上，且采取必要的保护措施，以防止污染、不可恢复的变形和损坏。</w:t>
      </w:r>
    </w:p>
    <w:p w14:paraId="0B48A4FF">
      <w:pPr>
        <w:pStyle w:val="67"/>
        <w:numPr>
          <w:ilvl w:val="255"/>
          <w:numId w:val="0"/>
        </w:numPr>
        <w:spacing w:before="156" w:after="156"/>
      </w:pPr>
      <w:r>
        <w:rPr>
          <w:rFonts w:hint="eastAsia"/>
        </w:rPr>
        <w:t>4.5.2石墨、碳堆芯支承结构安装前外观质量检查</w:t>
      </w:r>
    </w:p>
    <w:p w14:paraId="7CEE8B60">
      <w:pPr>
        <w:pStyle w:val="234"/>
        <w:numPr>
          <w:ilvl w:val="255"/>
          <w:numId w:val="0"/>
        </w:numPr>
        <w:ind w:left="426" w:leftChars="203" w:firstLine="12" w:firstLineChars="6"/>
      </w:pPr>
      <w:r>
        <w:rPr>
          <w:rFonts w:hint="eastAsia"/>
        </w:rPr>
        <w:t>石墨、碳堆芯支承结构安装前外观质量检查应符合下列要求：</w:t>
      </w:r>
    </w:p>
    <w:p w14:paraId="6665D04F">
      <w:pPr>
        <w:pStyle w:val="234"/>
        <w:numPr>
          <w:ilvl w:val="255"/>
          <w:numId w:val="0"/>
        </w:numPr>
        <w:ind w:left="828" w:leftChars="200"/>
      </w:pPr>
      <w:r>
        <w:rPr>
          <w:rFonts w:hint="eastAsia"/>
        </w:rPr>
        <w:t>——表面无损伤、无变形、无油污、无受潮；</w:t>
      </w:r>
    </w:p>
    <w:p w14:paraId="6AF54DB9">
      <w:pPr>
        <w:pStyle w:val="234"/>
        <w:numPr>
          <w:ilvl w:val="255"/>
          <w:numId w:val="0"/>
        </w:numPr>
        <w:ind w:left="828" w:leftChars="200"/>
      </w:pPr>
      <w:r>
        <w:rPr>
          <w:rFonts w:hint="eastAsia"/>
        </w:rPr>
        <w:t>——石墨、碳砖尺寸符合图纸要求；</w:t>
      </w:r>
    </w:p>
    <w:p w14:paraId="5FB3A90B">
      <w:pPr>
        <w:pStyle w:val="234"/>
        <w:numPr>
          <w:ilvl w:val="255"/>
          <w:numId w:val="0"/>
        </w:numPr>
        <w:ind w:left="828" w:leftChars="200"/>
      </w:pPr>
      <w:r>
        <w:rPr>
          <w:rFonts w:hint="eastAsia"/>
        </w:rPr>
        <w:t>——石墨、碳砖吊挂点、KKS编码标记清晰。</w:t>
      </w:r>
    </w:p>
    <w:p w14:paraId="0A68E823">
      <w:pPr>
        <w:pStyle w:val="67"/>
        <w:numPr>
          <w:ilvl w:val="255"/>
          <w:numId w:val="0"/>
        </w:numPr>
        <w:spacing w:before="156" w:after="156"/>
      </w:pPr>
      <w:r>
        <w:rPr>
          <w:rFonts w:hint="eastAsia"/>
        </w:rPr>
        <w:t>4.5.3 开箱检验</w:t>
      </w:r>
    </w:p>
    <w:p w14:paraId="759E31B9">
      <w:pPr>
        <w:pStyle w:val="234"/>
        <w:numPr>
          <w:ilvl w:val="255"/>
          <w:numId w:val="0"/>
        </w:numPr>
        <w:ind w:left="828" w:leftChars="200"/>
      </w:pPr>
      <w:r>
        <w:rPr>
          <w:rFonts w:hint="eastAsia"/>
        </w:rPr>
        <w:t>开箱检验应按照装箱清单核对检查下列项目：</w:t>
      </w:r>
    </w:p>
    <w:p w14:paraId="50E66A16">
      <w:pPr>
        <w:pStyle w:val="234"/>
        <w:numPr>
          <w:ilvl w:val="255"/>
          <w:numId w:val="0"/>
        </w:numPr>
        <w:ind w:left="828" w:leftChars="200"/>
      </w:pPr>
      <w:r>
        <w:rPr>
          <w:rFonts w:hint="eastAsia"/>
        </w:rPr>
        <w:t>——箱号、箱数及包装情况；</w:t>
      </w:r>
    </w:p>
    <w:p w14:paraId="3280ACC7">
      <w:pPr>
        <w:pStyle w:val="234"/>
        <w:numPr>
          <w:ilvl w:val="255"/>
          <w:numId w:val="0"/>
        </w:numPr>
        <w:ind w:left="828" w:leftChars="200"/>
      </w:pPr>
      <w:r>
        <w:rPr>
          <w:rFonts w:hint="eastAsia"/>
        </w:rPr>
        <w:t>——零部件名称、型号及规格；</w:t>
      </w:r>
    </w:p>
    <w:p w14:paraId="0D711F85">
      <w:pPr>
        <w:pStyle w:val="234"/>
        <w:numPr>
          <w:ilvl w:val="255"/>
          <w:numId w:val="0"/>
        </w:numPr>
        <w:ind w:left="828" w:leftChars="200"/>
      </w:pPr>
      <w:r>
        <w:rPr>
          <w:rFonts w:hint="eastAsia"/>
        </w:rPr>
        <w:t>——备品备件齐全；</w:t>
      </w:r>
    </w:p>
    <w:p w14:paraId="47D2E0E5">
      <w:pPr>
        <w:pStyle w:val="234"/>
        <w:numPr>
          <w:ilvl w:val="255"/>
          <w:numId w:val="0"/>
        </w:numPr>
        <w:ind w:left="828" w:leftChars="200"/>
      </w:pPr>
      <w:r>
        <w:rPr>
          <w:rFonts w:hint="eastAsia"/>
        </w:rPr>
        <w:t>——产品质量证明文件；</w:t>
      </w:r>
    </w:p>
    <w:p w14:paraId="000A9826">
      <w:pPr>
        <w:pStyle w:val="234"/>
        <w:numPr>
          <w:ilvl w:val="255"/>
          <w:numId w:val="0"/>
        </w:numPr>
        <w:ind w:left="828" w:leftChars="200"/>
      </w:pPr>
      <w:r>
        <w:rPr>
          <w:rFonts w:hint="eastAsia"/>
        </w:rPr>
        <w:t>——随机文件及专用工具。</w:t>
      </w:r>
    </w:p>
    <w:p w14:paraId="317B8CF3">
      <w:pPr>
        <w:pStyle w:val="107"/>
        <w:spacing w:before="156" w:after="156"/>
      </w:pPr>
      <w:bookmarkStart w:id="197" w:name="_Toc444086058"/>
      <w:bookmarkStart w:id="198" w:name="_Toc17361642"/>
      <w:bookmarkStart w:id="199" w:name="_Toc23639"/>
      <w:bookmarkStart w:id="200" w:name="_Toc234677866"/>
      <w:bookmarkStart w:id="201" w:name="_Toc207715558"/>
      <w:r>
        <w:rPr>
          <w:rFonts w:hint="eastAsia"/>
        </w:rPr>
        <w:t>存放</w:t>
      </w:r>
      <w:bookmarkEnd w:id="197"/>
      <w:r>
        <w:rPr>
          <w:rFonts w:hint="eastAsia"/>
        </w:rPr>
        <w:t>要求</w:t>
      </w:r>
      <w:bookmarkEnd w:id="198"/>
      <w:bookmarkEnd w:id="199"/>
      <w:bookmarkEnd w:id="200"/>
      <w:bookmarkEnd w:id="201"/>
    </w:p>
    <w:p w14:paraId="6BDB0105">
      <w:pPr>
        <w:pStyle w:val="58"/>
        <w:ind w:firstLine="420"/>
      </w:pPr>
      <w:r>
        <w:rPr>
          <w:rFonts w:hint="eastAsia"/>
        </w:rPr>
        <w:t>堆内构件存放应满足以下要求:</w:t>
      </w:r>
    </w:p>
    <w:p w14:paraId="4BC313E1">
      <w:pPr>
        <w:pStyle w:val="234"/>
        <w:numPr>
          <w:ilvl w:val="255"/>
          <w:numId w:val="0"/>
        </w:numPr>
        <w:ind w:left="840" w:leftChars="200" w:hanging="420" w:hangingChars="200"/>
      </w:pPr>
      <w:r>
        <w:rPr>
          <w:rFonts w:hint="eastAsia"/>
        </w:rPr>
        <w:t>——在存放其间应定期进行目视检查，发现损伤或反常现象应立即报告;</w:t>
      </w:r>
    </w:p>
    <w:p w14:paraId="15DE6A58">
      <w:pPr>
        <w:pStyle w:val="234"/>
        <w:numPr>
          <w:ilvl w:val="255"/>
          <w:numId w:val="0"/>
        </w:numPr>
        <w:ind w:left="840" w:leftChars="200" w:hanging="420" w:hangingChars="200"/>
      </w:pPr>
      <w:r>
        <w:rPr>
          <w:rFonts w:hint="eastAsia"/>
        </w:rPr>
        <w:t>——金属堆芯支承结构不应直接放置于地面，应用木料垫起、垫起高度不少于100mm，并调整至保持稳定状态;</w:t>
      </w:r>
    </w:p>
    <w:p w14:paraId="10A27003">
      <w:pPr>
        <w:pStyle w:val="234"/>
        <w:numPr>
          <w:ilvl w:val="255"/>
          <w:numId w:val="0"/>
        </w:numPr>
        <w:ind w:left="840" w:leftChars="200" w:hanging="420" w:hangingChars="200"/>
      </w:pPr>
      <w:r>
        <w:rPr>
          <w:rFonts w:hint="eastAsia"/>
        </w:rPr>
        <w:t>——金属堆芯支承结构应单独存放，其上不应放置任何其它金属重物，防止零部件产生不可恢复的变形;</w:t>
      </w:r>
    </w:p>
    <w:p w14:paraId="42AFE5DA">
      <w:pPr>
        <w:pStyle w:val="234"/>
        <w:numPr>
          <w:ilvl w:val="255"/>
          <w:numId w:val="0"/>
        </w:numPr>
        <w:ind w:left="840" w:leftChars="200" w:hanging="420" w:hangingChars="200"/>
      </w:pPr>
      <w:r>
        <w:rPr>
          <w:rFonts w:hint="eastAsia"/>
        </w:rPr>
        <w:t>——金属堆芯支承结构运抵现场后，为避免卧式放置可导致堆芯壳变形过大且不可恢复，在正式吊装前如需长期（大于等于28天）存放，堆芯壳应竖立放置，同时应牢固支承，防止翻倒;</w:t>
      </w:r>
    </w:p>
    <w:p w14:paraId="7111AFF6">
      <w:pPr>
        <w:pStyle w:val="234"/>
        <w:numPr>
          <w:ilvl w:val="255"/>
          <w:numId w:val="0"/>
        </w:numPr>
        <w:ind w:left="840" w:leftChars="200" w:hanging="420" w:hangingChars="200"/>
      </w:pPr>
      <w:r>
        <w:rPr>
          <w:rFonts w:hint="eastAsia"/>
        </w:rPr>
        <w:t>——金属堆芯支承结构应采用符合清洁度要求的塑料薄膜和阻燃帆布封住物件，实现防尘、防潮和防止外来物的损伤的效果;</w:t>
      </w:r>
    </w:p>
    <w:p w14:paraId="4E98736B">
      <w:pPr>
        <w:pStyle w:val="234"/>
        <w:numPr>
          <w:ilvl w:val="255"/>
          <w:numId w:val="0"/>
        </w:numPr>
        <w:ind w:left="840" w:leftChars="200" w:hanging="420" w:hangingChars="200"/>
      </w:pPr>
      <w:r>
        <w:rPr>
          <w:rFonts w:hint="eastAsia"/>
        </w:rPr>
        <w:t>——石墨和碳堆芯支承结构的装箱应按编号顺序排列，摆放平稳，装箱之间应留有通道以便检查;</w:t>
      </w:r>
    </w:p>
    <w:p w14:paraId="49909DDF">
      <w:pPr>
        <w:pStyle w:val="234"/>
        <w:numPr>
          <w:ilvl w:val="255"/>
          <w:numId w:val="0"/>
        </w:numPr>
        <w:ind w:left="840" w:leftChars="200" w:hanging="420" w:hangingChars="200"/>
      </w:pPr>
      <w:r>
        <w:rPr>
          <w:rFonts w:hint="eastAsia"/>
        </w:rPr>
        <w:t>——石墨和碳堆芯支承结构不应直接堆放地面，应在中间铺垫塑料板，箱体应覆盖阻燃帆布;</w:t>
      </w:r>
    </w:p>
    <w:p w14:paraId="4C055139">
      <w:pPr>
        <w:pStyle w:val="234"/>
        <w:numPr>
          <w:ilvl w:val="255"/>
          <w:numId w:val="0"/>
        </w:numPr>
        <w:ind w:left="840" w:leftChars="200" w:hanging="420" w:hangingChars="200"/>
      </w:pPr>
      <w:r>
        <w:rPr>
          <w:rFonts w:hint="eastAsia"/>
        </w:rPr>
        <w:t>——为保持存放区域和构件本身的清洁，装箱在堆放前后均应经过除尘、吸尘处理;</w:t>
      </w:r>
    </w:p>
    <w:p w14:paraId="0309D00D">
      <w:pPr>
        <w:pStyle w:val="234"/>
        <w:numPr>
          <w:ilvl w:val="255"/>
          <w:numId w:val="0"/>
        </w:numPr>
        <w:ind w:left="840" w:leftChars="200" w:hanging="420" w:hangingChars="200"/>
      </w:pPr>
      <w:r>
        <w:rPr>
          <w:rFonts w:hint="eastAsia"/>
        </w:rPr>
        <w:t>——存放区应具备足够容量，以贮存石墨和碳堆芯支承结构，能根据安装进程要求持续向外输送石墨和碳堆芯支承结构;</w:t>
      </w:r>
    </w:p>
    <w:p w14:paraId="2A7F3C1F">
      <w:pPr>
        <w:pStyle w:val="234"/>
        <w:numPr>
          <w:ilvl w:val="255"/>
          <w:numId w:val="0"/>
        </w:numPr>
        <w:ind w:left="840" w:leftChars="200" w:hanging="420" w:hangingChars="200"/>
      </w:pPr>
      <w:r>
        <w:rPr>
          <w:rFonts w:hint="eastAsia"/>
        </w:rPr>
        <w:t>——石墨和碳堆芯支承结构在贮存和运输过程中应按要求采取防护措施，防止风、湿气、油污、灰尘的侵袭，防止发生碰撞损坏。</w:t>
      </w:r>
    </w:p>
    <w:p w14:paraId="6E3229FB">
      <w:pPr>
        <w:pStyle w:val="107"/>
        <w:spacing w:before="156" w:after="156"/>
      </w:pPr>
      <w:bookmarkStart w:id="202" w:name="_Toc6219"/>
      <w:bookmarkStart w:id="203" w:name="_Toc444086059"/>
      <w:bookmarkStart w:id="204" w:name="_Toc234677867"/>
      <w:bookmarkStart w:id="205" w:name="_Toc207715559"/>
      <w:bookmarkStart w:id="206" w:name="_Toc17361643"/>
      <w:r>
        <w:rPr>
          <w:rFonts w:hint="eastAsia"/>
        </w:rPr>
        <w:t>安装前清洗</w:t>
      </w:r>
      <w:bookmarkEnd w:id="202"/>
      <w:bookmarkEnd w:id="203"/>
      <w:bookmarkEnd w:id="204"/>
      <w:bookmarkEnd w:id="205"/>
      <w:bookmarkEnd w:id="206"/>
    </w:p>
    <w:p w14:paraId="15818649">
      <w:pPr>
        <w:pStyle w:val="67"/>
        <w:spacing w:before="156" w:after="156"/>
      </w:pPr>
      <w:r>
        <w:rPr>
          <w:rFonts w:hint="eastAsia"/>
        </w:rPr>
        <w:t>清洗</w:t>
      </w:r>
    </w:p>
    <w:p w14:paraId="25095AFD">
      <w:pPr>
        <w:pStyle w:val="232"/>
      </w:pPr>
      <w:r>
        <w:rPr>
          <w:rFonts w:hint="eastAsia"/>
        </w:rPr>
        <w:t>金属堆芯支承结构安装前，应使用符合要求的净化水、分析纯酒精或丙酮进行清洗，清洗后应满足清洁度要求，清洗时不应使用自来水、不合格的酒精和丙酮。</w:t>
      </w:r>
    </w:p>
    <w:p w14:paraId="72F465C9">
      <w:pPr>
        <w:pStyle w:val="67"/>
        <w:spacing w:before="156" w:after="156"/>
      </w:pPr>
      <w:r>
        <w:rPr>
          <w:rFonts w:hint="eastAsia"/>
        </w:rPr>
        <w:t>清洁度检查</w:t>
      </w:r>
    </w:p>
    <w:p w14:paraId="24F1D3F8">
      <w:pPr>
        <w:pStyle w:val="67"/>
        <w:numPr>
          <w:ilvl w:val="255"/>
          <w:numId w:val="0"/>
        </w:numPr>
        <w:spacing w:before="156" w:after="156"/>
        <w:ind w:firstLine="420" w:firstLineChars="200"/>
        <w:outlineLvl w:val="9"/>
      </w:pPr>
      <w:r>
        <w:rPr>
          <w:rFonts w:hint="eastAsia" w:ascii="宋体" w:eastAsia="宋体"/>
        </w:rPr>
        <w:t>清洁度检查应满足以下要求:</w:t>
      </w:r>
    </w:p>
    <w:p w14:paraId="6C5DA5FC">
      <w:pPr>
        <w:pStyle w:val="234"/>
        <w:numPr>
          <w:ilvl w:val="255"/>
          <w:numId w:val="0"/>
        </w:numPr>
        <w:ind w:left="840" w:leftChars="200" w:hanging="420" w:hangingChars="200"/>
      </w:pPr>
      <w:r>
        <w:rPr>
          <w:rFonts w:hint="eastAsia"/>
        </w:rPr>
        <w:t>——应在不小于1000Lx的照度下对表面做目视检查。金属表面应干净，允许因焊接、热处理等产生的极薄氧化膜，允许存在分散的氧化斑点，包括表面锈斑（由母材或污染物形成的），但斑点的累积量小于总面积的0.1%;</w:t>
      </w:r>
    </w:p>
    <w:p w14:paraId="5FB5AD08">
      <w:pPr>
        <w:pStyle w:val="234"/>
        <w:numPr>
          <w:ilvl w:val="255"/>
          <w:numId w:val="0"/>
        </w:numPr>
        <w:ind w:left="840" w:leftChars="200" w:hanging="420" w:hangingChars="200"/>
      </w:pPr>
      <w:r>
        <w:rPr>
          <w:rFonts w:hint="eastAsia"/>
        </w:rPr>
        <w:t>——应用白绸布擦拭存疑部位。如24小时重复此项操作应得同样结果。在擦完后，擦布应干净，不应存在任何污垢，不得残留任何金属微粒和焊渣，擦拭后不得在金属表面留下目视可见布纤维和绒毛。</w:t>
      </w:r>
    </w:p>
    <w:p w14:paraId="57BBE8BE">
      <w:pPr>
        <w:pStyle w:val="107"/>
        <w:spacing w:before="156" w:after="156"/>
      </w:pPr>
      <w:bookmarkStart w:id="207" w:name="_Toc447638188"/>
      <w:bookmarkStart w:id="208" w:name="_Toc207715560"/>
      <w:bookmarkStart w:id="209" w:name="_Toc17473244"/>
      <w:bookmarkStart w:id="210" w:name="_Toc15588"/>
      <w:bookmarkStart w:id="211" w:name="_Toc234677868"/>
      <w:r>
        <w:rPr>
          <w:rFonts w:hint="eastAsia"/>
        </w:rPr>
        <w:t>石墨和碳堆芯支承结构的安装准备</w:t>
      </w:r>
      <w:bookmarkEnd w:id="207"/>
      <w:bookmarkEnd w:id="208"/>
      <w:bookmarkEnd w:id="209"/>
      <w:bookmarkEnd w:id="210"/>
      <w:bookmarkEnd w:id="211"/>
    </w:p>
    <w:p w14:paraId="5EDC9CE2">
      <w:pPr>
        <w:pStyle w:val="234"/>
        <w:numPr>
          <w:ilvl w:val="255"/>
          <w:numId w:val="0"/>
        </w:numPr>
        <w:ind w:left="425"/>
      </w:pPr>
      <w:r>
        <w:rPr>
          <w:rFonts w:hint="eastAsia"/>
        </w:rPr>
        <w:t>石墨和碳堆芯支承结构的安装准备应满足以下要求：</w:t>
      </w:r>
    </w:p>
    <w:p w14:paraId="507B7E77">
      <w:pPr>
        <w:pStyle w:val="234"/>
        <w:numPr>
          <w:ilvl w:val="255"/>
          <w:numId w:val="0"/>
        </w:numPr>
        <w:ind w:left="840" w:leftChars="200" w:hanging="420" w:hangingChars="200"/>
      </w:pPr>
      <w:r>
        <w:rPr>
          <w:rFonts w:hint="eastAsia"/>
        </w:rPr>
        <w:t>——石墨和碳堆芯支承结构的安装准备工作应在安装准备区完成，这些工作包括：堆芯支承结构的开箱、清洁、B4C石墨棒的安装以及个别零件的临时修补和清洁；</w:t>
      </w:r>
    </w:p>
    <w:p w14:paraId="2CAF7871">
      <w:pPr>
        <w:pStyle w:val="234"/>
        <w:numPr>
          <w:ilvl w:val="255"/>
          <w:numId w:val="0"/>
        </w:numPr>
        <w:ind w:left="840" w:leftChars="200" w:hanging="420" w:hangingChars="200"/>
      </w:pPr>
      <w:r>
        <w:rPr>
          <w:rFonts w:hint="eastAsia"/>
        </w:rPr>
        <w:t>——经过安装准备后，石墨和碳堆芯支承结构应达到可安装的状态及清洁度；</w:t>
      </w:r>
    </w:p>
    <w:p w14:paraId="62AC5F64">
      <w:pPr>
        <w:pStyle w:val="234"/>
        <w:numPr>
          <w:ilvl w:val="255"/>
          <w:numId w:val="0"/>
        </w:numPr>
        <w:ind w:left="840" w:leftChars="200" w:hanging="420" w:hangingChars="200"/>
      </w:pPr>
      <w:r>
        <w:rPr>
          <w:rFonts w:hint="eastAsia"/>
        </w:rPr>
        <w:t>——石墨和碳堆芯支承结构在安装前应在预组装平台上与相关金属部件进行试装。</w:t>
      </w:r>
    </w:p>
    <w:p w14:paraId="09D45F17">
      <w:pPr>
        <w:pStyle w:val="107"/>
        <w:spacing w:before="156" w:after="156"/>
      </w:pPr>
      <w:bookmarkStart w:id="212" w:name="_Toc17473245"/>
      <w:bookmarkStart w:id="213" w:name="_Toc13610"/>
      <w:bookmarkStart w:id="214" w:name="_Toc207715561"/>
      <w:bookmarkStart w:id="215" w:name="_Toc234677869"/>
      <w:r>
        <w:rPr>
          <w:rFonts w:hint="eastAsia"/>
        </w:rPr>
        <w:t>石墨、碳砖及箍紧带的预组装</w:t>
      </w:r>
      <w:bookmarkEnd w:id="212"/>
      <w:bookmarkEnd w:id="213"/>
      <w:bookmarkEnd w:id="214"/>
      <w:bookmarkEnd w:id="215"/>
    </w:p>
    <w:p w14:paraId="3350AE14">
      <w:pPr>
        <w:pStyle w:val="234"/>
        <w:numPr>
          <w:ilvl w:val="255"/>
          <w:numId w:val="0"/>
        </w:numPr>
        <w:ind w:left="425"/>
      </w:pPr>
      <w:r>
        <w:rPr>
          <w:rFonts w:hint="eastAsia"/>
        </w:rPr>
        <w:t>石墨、碳砖及箍紧带的预组装应满足以下要求：</w:t>
      </w:r>
    </w:p>
    <w:p w14:paraId="3932FC00">
      <w:pPr>
        <w:pStyle w:val="234"/>
        <w:numPr>
          <w:ilvl w:val="255"/>
          <w:numId w:val="0"/>
        </w:numPr>
        <w:ind w:left="840" w:leftChars="200" w:hanging="420" w:hangingChars="200"/>
      </w:pPr>
      <w:r>
        <w:rPr>
          <w:rFonts w:hint="eastAsia"/>
        </w:rPr>
        <w:t>——石墨砖和碳砖只摆放一层；</w:t>
      </w:r>
    </w:p>
    <w:p w14:paraId="73FA5175">
      <w:pPr>
        <w:pStyle w:val="234"/>
        <w:numPr>
          <w:ilvl w:val="255"/>
          <w:numId w:val="0"/>
        </w:numPr>
        <w:ind w:left="840" w:leftChars="200" w:hanging="420" w:hangingChars="200"/>
      </w:pPr>
      <w:r>
        <w:rPr>
          <w:rFonts w:hint="eastAsia"/>
        </w:rPr>
        <w:t>——石墨砖、碳砖的预组装顺序应按照工厂预组装文件和安装图纸，砖块的配合和间隙应符合设计图要求；</w:t>
      </w:r>
    </w:p>
    <w:p w14:paraId="6513DDF4">
      <w:pPr>
        <w:pStyle w:val="234"/>
        <w:numPr>
          <w:ilvl w:val="255"/>
          <w:numId w:val="0"/>
        </w:numPr>
        <w:ind w:left="840" w:leftChars="200" w:hanging="420" w:hangingChars="200"/>
      </w:pPr>
      <w:r>
        <w:rPr>
          <w:rFonts w:hint="eastAsia"/>
        </w:rPr>
        <w:t>——箍紧带应与石墨砖和碳砖一同预组装，限位圆柱与碳砖之间间隙应均匀，连接销钉应可以插上，不得通过蛮力使箍紧带变形，检查合格后应在各段箍紧带上作临时标记；</w:t>
      </w:r>
    </w:p>
    <w:p w14:paraId="4636BB92">
      <w:pPr>
        <w:pStyle w:val="234"/>
        <w:numPr>
          <w:ilvl w:val="255"/>
          <w:numId w:val="0"/>
        </w:numPr>
        <w:ind w:left="840" w:leftChars="200" w:hanging="420" w:hangingChars="200"/>
      </w:pPr>
      <w:r>
        <w:rPr>
          <w:rFonts w:hint="eastAsia"/>
        </w:rPr>
        <w:t>——石墨和碳堆芯支承结构在吊装前应清理干净，损坏和缺陷超过规定标准的不得进行安装。安装中防止吊具和吊装中的设备运动碰到作业人员和结构设备，应具备防护措施防止人员和石墨和碳砖掉入堆芯腔；</w:t>
      </w:r>
    </w:p>
    <w:p w14:paraId="3CC6B964">
      <w:pPr>
        <w:pStyle w:val="234"/>
        <w:numPr>
          <w:ilvl w:val="255"/>
          <w:numId w:val="0"/>
        </w:numPr>
        <w:ind w:left="840" w:leftChars="200" w:hanging="420" w:hangingChars="200"/>
      </w:pPr>
      <w:r>
        <w:rPr>
          <w:rFonts w:hint="eastAsia"/>
        </w:rPr>
        <w:t>——真空吊装设备需配备两路不间断电源，一路电源来自区域电网，二路电源采用现场发电机供电，两路具有互为备用的特点。</w:t>
      </w:r>
    </w:p>
    <w:p w14:paraId="2EC2F3A4">
      <w:pPr>
        <w:pStyle w:val="107"/>
        <w:spacing w:before="156" w:after="156"/>
      </w:pPr>
      <w:bookmarkStart w:id="216" w:name="_Toc447638189"/>
      <w:bookmarkStart w:id="217" w:name="_Toc207715562"/>
      <w:bookmarkStart w:id="218" w:name="_Toc17473246"/>
      <w:bookmarkStart w:id="219" w:name="_Toc234677870"/>
      <w:bookmarkStart w:id="220" w:name="_Toc3031"/>
      <w:r>
        <w:rPr>
          <w:rFonts w:hint="eastAsia"/>
        </w:rPr>
        <w:t>堆芯支承结构安装前提条件</w:t>
      </w:r>
      <w:bookmarkEnd w:id="216"/>
      <w:bookmarkEnd w:id="217"/>
      <w:bookmarkEnd w:id="218"/>
      <w:bookmarkEnd w:id="219"/>
      <w:bookmarkEnd w:id="220"/>
    </w:p>
    <w:p w14:paraId="0809AAE8">
      <w:pPr>
        <w:pStyle w:val="58"/>
        <w:ind w:firstLine="420"/>
      </w:pPr>
      <w:r>
        <w:rPr>
          <w:rFonts w:hint="eastAsia"/>
        </w:rPr>
        <w:t>堆芯支承结构安装应满足以下前提条件：</w:t>
      </w:r>
    </w:p>
    <w:p w14:paraId="75EE2EF7">
      <w:pPr>
        <w:pStyle w:val="245"/>
        <w:numPr>
          <w:ilvl w:val="255"/>
          <w:numId w:val="0"/>
        </w:numPr>
        <w:ind w:left="420"/>
      </w:pPr>
      <w:r>
        <w:rPr>
          <w:rFonts w:hint="eastAsia"/>
        </w:rPr>
        <w:t>——堆芯支承结构安装环境已预备预组装条件，如预组装厂房已完成验收或压力容器已吊装就位；</w:t>
      </w:r>
    </w:p>
    <w:p w14:paraId="4D8CABC5">
      <w:pPr>
        <w:pStyle w:val="245"/>
        <w:numPr>
          <w:ilvl w:val="255"/>
          <w:numId w:val="0"/>
        </w:numPr>
        <w:ind w:left="420"/>
      </w:pPr>
      <w:r>
        <w:rPr>
          <w:rFonts w:hint="eastAsia"/>
        </w:rPr>
        <w:t>——激光跟踪仪架设完毕，能够随时准确测量各种尺寸及各种偏差，同时不影响堆芯支承结构的安装；</w:t>
      </w:r>
    </w:p>
    <w:p w14:paraId="28A69017">
      <w:pPr>
        <w:pStyle w:val="245"/>
        <w:numPr>
          <w:ilvl w:val="255"/>
          <w:numId w:val="0"/>
        </w:numPr>
        <w:ind w:left="420"/>
      </w:pPr>
      <w:r>
        <w:rPr>
          <w:rFonts w:hint="eastAsia"/>
        </w:rPr>
        <w:t>——堆芯支承结构已在安装检查区按零件编号和预组装编号准备完毕；</w:t>
      </w:r>
    </w:p>
    <w:p w14:paraId="18F28EEF">
      <w:pPr>
        <w:pStyle w:val="245"/>
        <w:numPr>
          <w:ilvl w:val="255"/>
          <w:numId w:val="0"/>
        </w:numPr>
        <w:ind w:left="420"/>
      </w:pPr>
      <w:r>
        <w:rPr>
          <w:rFonts w:hint="eastAsia"/>
        </w:rPr>
        <w:t>——伸入石墨和碳砖碳砖部件的热电偶及其导线已准备好；箍紧带和控制棒缓冲器均准备到位；</w:t>
      </w:r>
    </w:p>
    <w:p w14:paraId="2C6232BA">
      <w:pPr>
        <w:pStyle w:val="245"/>
        <w:numPr>
          <w:ilvl w:val="255"/>
          <w:numId w:val="0"/>
        </w:numPr>
        <w:ind w:left="420"/>
      </w:pPr>
      <w:r>
        <w:rPr>
          <w:rFonts w:hint="eastAsia"/>
        </w:rPr>
        <w:t>——预组装平台已搭接完毕并通过验收；</w:t>
      </w:r>
    </w:p>
    <w:p w14:paraId="4E40E37C">
      <w:pPr>
        <w:pStyle w:val="245"/>
        <w:numPr>
          <w:ilvl w:val="255"/>
          <w:numId w:val="0"/>
        </w:numPr>
        <w:ind w:left="420"/>
      </w:pPr>
      <w:r>
        <w:rPr>
          <w:rFonts w:hint="eastAsia"/>
        </w:rPr>
        <w:t>——石墨和碳堆芯支承结构进出及吊装通道无障碍；</w:t>
      </w:r>
    </w:p>
    <w:p w14:paraId="2A63E4B0">
      <w:pPr>
        <w:pStyle w:val="245"/>
        <w:numPr>
          <w:ilvl w:val="255"/>
          <w:numId w:val="0"/>
        </w:numPr>
        <w:ind w:left="420"/>
      </w:pPr>
      <w:r>
        <w:rPr>
          <w:rFonts w:hint="eastAsia"/>
        </w:rPr>
        <w:t>——各区域吊装运输工具已组装完毕，具备使用条件，工作场地周围的安全警示标志和安全设备准备就绪；</w:t>
      </w:r>
    </w:p>
    <w:p w14:paraId="55490934">
      <w:pPr>
        <w:pStyle w:val="245"/>
        <w:numPr>
          <w:ilvl w:val="255"/>
          <w:numId w:val="0"/>
        </w:numPr>
        <w:ind w:left="420"/>
      </w:pPr>
      <w:r>
        <w:rPr>
          <w:rFonts w:hint="eastAsia"/>
        </w:rPr>
        <w:t>——安装程序文件、技术文件、图纸以及人员已就位；</w:t>
      </w:r>
    </w:p>
    <w:p w14:paraId="6DF304DA">
      <w:pPr>
        <w:pStyle w:val="245"/>
        <w:numPr>
          <w:ilvl w:val="255"/>
          <w:numId w:val="0"/>
        </w:numPr>
        <w:ind w:left="420"/>
      </w:pPr>
      <w:r>
        <w:rPr>
          <w:rFonts w:hint="eastAsia"/>
        </w:rPr>
        <w:t>——安装过程所需的各种定位标记设置完毕，复查无误。</w:t>
      </w:r>
    </w:p>
    <w:p w14:paraId="1F0E0DCB">
      <w:pPr>
        <w:pStyle w:val="106"/>
        <w:spacing w:before="312" w:after="312"/>
      </w:pPr>
      <w:bookmarkStart w:id="221" w:name="_Toc234677871"/>
      <w:bookmarkStart w:id="222" w:name="_Toc207715563"/>
      <w:bookmarkStart w:id="223" w:name="_Toc13380"/>
      <w:bookmarkStart w:id="224" w:name="_Toc444086062"/>
      <w:r>
        <w:rPr>
          <w:rFonts w:hint="eastAsia"/>
        </w:rPr>
        <w:t>场外预组装阶段的底部金属堆芯支承结构安装</w:t>
      </w:r>
      <w:bookmarkEnd w:id="221"/>
      <w:bookmarkEnd w:id="222"/>
      <w:bookmarkEnd w:id="223"/>
    </w:p>
    <w:p w14:paraId="7933DC1D">
      <w:pPr>
        <w:pStyle w:val="107"/>
        <w:spacing w:before="156" w:after="156"/>
      </w:pPr>
      <w:bookmarkStart w:id="225" w:name="_Toc13515"/>
      <w:bookmarkStart w:id="226" w:name="_Toc17361645"/>
      <w:bookmarkStart w:id="227" w:name="_Toc207715564"/>
      <w:bookmarkStart w:id="228" w:name="_Toc234677872"/>
      <w:r>
        <w:rPr>
          <w:rFonts w:hint="eastAsia"/>
        </w:rPr>
        <w:t>安装先决条件</w:t>
      </w:r>
      <w:bookmarkEnd w:id="224"/>
      <w:bookmarkEnd w:id="225"/>
      <w:bookmarkEnd w:id="226"/>
      <w:bookmarkEnd w:id="227"/>
      <w:bookmarkEnd w:id="228"/>
    </w:p>
    <w:p w14:paraId="55904DA7">
      <w:pPr>
        <w:pStyle w:val="245"/>
        <w:numPr>
          <w:ilvl w:val="255"/>
          <w:numId w:val="0"/>
        </w:numPr>
        <w:rPr>
          <w:rFonts w:cs="宋体"/>
          <w:color w:val="000000"/>
        </w:rPr>
      </w:pPr>
      <w:r>
        <w:rPr>
          <w:rFonts w:hint="eastAsia" w:ascii="黑体" w:hAnsi="黑体" w:eastAsia="黑体" w:cs="黑体"/>
        </w:rPr>
        <w:t>5.1.1</w:t>
      </w:r>
      <w:r>
        <w:rPr>
          <w:rFonts w:hint="eastAsia"/>
        </w:rPr>
        <w:t>堆芯支承结构场外预组装拼装厂房清洁状态应符合要求，预组装厂房已通过验收。</w:t>
      </w:r>
    </w:p>
    <w:p w14:paraId="1BFFE918">
      <w:pPr>
        <w:pStyle w:val="245"/>
        <w:numPr>
          <w:ilvl w:val="255"/>
          <w:numId w:val="0"/>
        </w:numPr>
        <w:rPr>
          <w:rFonts w:cs="宋体"/>
          <w:color w:val="000000"/>
        </w:rPr>
      </w:pPr>
      <w:r>
        <w:rPr>
          <w:rFonts w:hint="eastAsia" w:ascii="黑体" w:hAnsi="黑体" w:eastAsia="黑体" w:cs="黑体"/>
        </w:rPr>
        <w:t>5.1.2</w:t>
      </w:r>
      <w:r>
        <w:rPr>
          <w:rFonts w:hint="eastAsia"/>
        </w:rPr>
        <w:t>预组装厂房支承柱上临时支承以调整平行度。</w:t>
      </w:r>
    </w:p>
    <w:p w14:paraId="439E0700">
      <w:pPr>
        <w:pStyle w:val="107"/>
        <w:spacing w:before="156" w:after="156"/>
      </w:pPr>
      <w:bookmarkStart w:id="229" w:name="_Toc444086063"/>
      <w:bookmarkStart w:id="230" w:name="_Toc207715565"/>
      <w:bookmarkStart w:id="231" w:name="_Toc17361646"/>
      <w:bookmarkStart w:id="232" w:name="_Toc2109"/>
      <w:bookmarkStart w:id="233" w:name="_Toc234677873"/>
      <w:r>
        <w:rPr>
          <w:rFonts w:hint="eastAsia"/>
        </w:rPr>
        <w:t>出球连接管预装要求</w:t>
      </w:r>
      <w:bookmarkEnd w:id="229"/>
      <w:bookmarkEnd w:id="230"/>
      <w:bookmarkEnd w:id="231"/>
      <w:bookmarkEnd w:id="232"/>
      <w:bookmarkEnd w:id="233"/>
    </w:p>
    <w:p w14:paraId="207F5734">
      <w:pPr>
        <w:pStyle w:val="245"/>
        <w:numPr>
          <w:ilvl w:val="255"/>
          <w:numId w:val="0"/>
        </w:numPr>
        <w:ind w:left="420"/>
      </w:pPr>
      <w:r>
        <w:rPr>
          <w:rFonts w:hint="eastAsia"/>
        </w:rPr>
        <w:t>出球连接管和压力容器底端卸料管嘴φ500内圆的同轴度φ1.0mm。</w:t>
      </w:r>
    </w:p>
    <w:p w14:paraId="50413550">
      <w:pPr>
        <w:pStyle w:val="107"/>
        <w:spacing w:before="156" w:after="156"/>
      </w:pPr>
      <w:bookmarkStart w:id="234" w:name="_Toc207715566"/>
      <w:bookmarkStart w:id="235" w:name="_Toc1924"/>
      <w:bookmarkStart w:id="236" w:name="_Toc444086064"/>
      <w:bookmarkStart w:id="237" w:name="_Toc234677874"/>
      <w:bookmarkStart w:id="238" w:name="_Toc17361647"/>
      <w:r>
        <w:rPr>
          <w:rFonts w:hint="eastAsia"/>
        </w:rPr>
        <w:t>内部屏蔽块下部分安装要求</w:t>
      </w:r>
      <w:bookmarkEnd w:id="234"/>
      <w:bookmarkEnd w:id="235"/>
      <w:bookmarkEnd w:id="236"/>
      <w:bookmarkEnd w:id="237"/>
      <w:bookmarkEnd w:id="238"/>
    </w:p>
    <w:p w14:paraId="70A72C94">
      <w:pPr>
        <w:pStyle w:val="232"/>
      </w:pPr>
      <w:r>
        <w:rPr>
          <w:rFonts w:hint="eastAsia"/>
        </w:rPr>
        <w:t>整体内部屏蔽块与筒体卸料管嘴φ500内圆的同轴度φ3.0mm。</w:t>
      </w:r>
    </w:p>
    <w:p w14:paraId="586626E5">
      <w:pPr>
        <w:pStyle w:val="107"/>
        <w:spacing w:before="156" w:after="156"/>
      </w:pPr>
      <w:bookmarkStart w:id="239" w:name="_Toc207715567"/>
      <w:bookmarkStart w:id="240" w:name="_Toc17361648"/>
      <w:bookmarkStart w:id="241" w:name="_Toc444086065"/>
      <w:bookmarkStart w:id="242" w:name="_Toc29385"/>
      <w:bookmarkStart w:id="243" w:name="_Toc234677875"/>
      <w:r>
        <w:rPr>
          <w:rFonts w:hint="eastAsia"/>
        </w:rPr>
        <w:t>堆芯壳安装要求</w:t>
      </w:r>
      <w:bookmarkEnd w:id="239"/>
      <w:bookmarkEnd w:id="240"/>
      <w:bookmarkEnd w:id="241"/>
      <w:bookmarkEnd w:id="242"/>
      <w:bookmarkEnd w:id="243"/>
    </w:p>
    <w:p w14:paraId="61EF0637">
      <w:pPr>
        <w:pStyle w:val="67"/>
        <w:spacing w:before="156" w:after="156"/>
      </w:pPr>
      <w:r>
        <w:rPr>
          <w:rFonts w:hint="eastAsia"/>
        </w:rPr>
        <w:t>安装前注意</w:t>
      </w:r>
    </w:p>
    <w:p w14:paraId="29CE62D2">
      <w:pPr>
        <w:pStyle w:val="234"/>
        <w:numPr>
          <w:ilvl w:val="255"/>
          <w:numId w:val="0"/>
        </w:numPr>
        <w:ind w:firstLine="420" w:firstLineChars="200"/>
      </w:pPr>
      <w:r>
        <w:rPr>
          <w:rFonts w:hint="eastAsia"/>
        </w:rPr>
        <w:t>安装在堆芯壳下部的部件如果从压力容器人孔引入困难时,应提前引入：</w:t>
      </w:r>
    </w:p>
    <w:p w14:paraId="6DB1C8E9">
      <w:pPr>
        <w:pStyle w:val="234"/>
        <w:numPr>
          <w:ilvl w:val="255"/>
          <w:numId w:val="0"/>
        </w:numPr>
        <w:ind w:left="840" w:leftChars="200" w:hanging="420" w:hangingChars="200"/>
      </w:pPr>
      <w:r>
        <w:rPr>
          <w:rFonts w:hint="eastAsia"/>
        </w:rPr>
        <w:t>——在反应堆压力容器主法兰上应安装保护垫片和对中限位块；</w:t>
      </w:r>
    </w:p>
    <w:p w14:paraId="58757C71">
      <w:pPr>
        <w:pStyle w:val="234"/>
        <w:numPr>
          <w:ilvl w:val="255"/>
          <w:numId w:val="0"/>
        </w:numPr>
        <w:ind w:left="840" w:leftChars="200" w:hanging="420" w:hangingChars="200"/>
      </w:pPr>
      <w:r>
        <w:rPr>
          <w:rFonts w:hint="eastAsia"/>
        </w:rPr>
        <w:t>——堆芯壳起吊盖板、出球连接管限位环、吸收球供球管、保护垫片等应在堆芯壳上提前装好。</w:t>
      </w:r>
    </w:p>
    <w:p w14:paraId="2E33E72C">
      <w:pPr>
        <w:pStyle w:val="67"/>
        <w:spacing w:before="156" w:after="156"/>
      </w:pPr>
      <w:r>
        <w:rPr>
          <w:rFonts w:hint="eastAsia"/>
        </w:rPr>
        <w:t>堆芯壳吊装就位后要求</w:t>
      </w:r>
    </w:p>
    <w:p w14:paraId="183860F2">
      <w:pPr>
        <w:pStyle w:val="58"/>
        <w:ind w:firstLine="420"/>
      </w:pPr>
      <w:r>
        <w:rPr>
          <w:rFonts w:hint="eastAsia"/>
        </w:rPr>
        <w:t>堆芯壳吊装就位后检查参数如下：</w:t>
      </w:r>
    </w:p>
    <w:p w14:paraId="45EBF536">
      <w:pPr>
        <w:pStyle w:val="245"/>
        <w:numPr>
          <w:ilvl w:val="0"/>
          <w:numId w:val="34"/>
        </w:numPr>
      </w:pPr>
      <w:r>
        <w:rPr>
          <w:rFonts w:hint="eastAsia"/>
        </w:rPr>
        <w:t>堆芯壳热气导管法兰对压力容器热气导管管嘴法兰的同轴度φ1.00mm；</w:t>
      </w:r>
    </w:p>
    <w:p w14:paraId="082AF588">
      <w:pPr>
        <w:pStyle w:val="245"/>
        <w:numPr>
          <w:ilvl w:val="0"/>
          <w:numId w:val="34"/>
        </w:numPr>
      </w:pPr>
      <w:r>
        <w:rPr>
          <w:rFonts w:hint="eastAsia"/>
        </w:rPr>
        <w:t>堆芯壳下底板上15支承环面的水平度0.2mm；</w:t>
      </w:r>
    </w:p>
    <w:p w14:paraId="731A1EDF">
      <w:pPr>
        <w:pStyle w:val="245"/>
        <w:numPr>
          <w:ilvl w:val="0"/>
          <w:numId w:val="34"/>
        </w:numPr>
      </w:pPr>
      <w:r>
        <w:rPr>
          <w:rFonts w:hint="eastAsia"/>
        </w:rPr>
        <w:t>堆芯壳和压力容器的周向对应角度精度为±30”（0.5</w:t>
      </w:r>
      <w:r>
        <w:t>’</w:t>
      </w:r>
      <w:r>
        <w:rPr>
          <w:rFonts w:hint="eastAsia"/>
        </w:rPr>
        <w:t>），转换为线性尺寸公差为堆芯壳上法兰0°、90°、180°、270°的线性尺寸公差为0.41mm；</w:t>
      </w:r>
    </w:p>
    <w:p w14:paraId="4C1F4141">
      <w:pPr>
        <w:pStyle w:val="245"/>
        <w:numPr>
          <w:ilvl w:val="0"/>
          <w:numId w:val="34"/>
        </w:numPr>
      </w:pPr>
      <w:r>
        <w:rPr>
          <w:rFonts w:hint="eastAsia"/>
        </w:rPr>
        <w:t>堆芯壳上法兰和压力容器筒体主法兰的同轴度φ1.0mm；</w:t>
      </w:r>
    </w:p>
    <w:p w14:paraId="66173859">
      <w:pPr>
        <w:pStyle w:val="245"/>
        <w:numPr>
          <w:ilvl w:val="0"/>
          <w:numId w:val="34"/>
        </w:numPr>
      </w:pPr>
      <w:r>
        <w:rPr>
          <w:rFonts w:hint="eastAsia"/>
        </w:rPr>
        <w:t>堆芯壳上法兰及上支承板上表面和压力容器筒体主法兰密封面的平行度1.0mm；</w:t>
      </w:r>
    </w:p>
    <w:p w14:paraId="23D99117">
      <w:pPr>
        <w:pStyle w:val="245"/>
        <w:numPr>
          <w:ilvl w:val="0"/>
          <w:numId w:val="34"/>
        </w:numPr>
      </w:pPr>
      <w:r>
        <w:rPr>
          <w:rFonts w:hint="eastAsia"/>
        </w:rPr>
        <w:t>支承滚柱组件安装高度，水平度0.1/1000。</w:t>
      </w:r>
    </w:p>
    <w:p w14:paraId="6C9FE244">
      <w:pPr>
        <w:pStyle w:val="107"/>
        <w:spacing w:before="156" w:after="156"/>
      </w:pPr>
      <w:bookmarkStart w:id="244" w:name="_Toc207715568"/>
      <w:bookmarkStart w:id="245" w:name="_Toc13277"/>
      <w:bookmarkStart w:id="246" w:name="_Toc17361649"/>
      <w:bookmarkStart w:id="247" w:name="_Toc234677876"/>
      <w:bookmarkStart w:id="248" w:name="_Toc444086066"/>
      <w:r>
        <w:rPr>
          <w:rFonts w:hint="eastAsia"/>
        </w:rPr>
        <w:t>限位环和出球连接管安装要求</w:t>
      </w:r>
      <w:bookmarkEnd w:id="244"/>
      <w:bookmarkEnd w:id="245"/>
      <w:bookmarkEnd w:id="246"/>
      <w:bookmarkEnd w:id="247"/>
      <w:bookmarkEnd w:id="248"/>
    </w:p>
    <w:p w14:paraId="4CB82C69">
      <w:pPr>
        <w:pStyle w:val="245"/>
        <w:numPr>
          <w:ilvl w:val="255"/>
          <w:numId w:val="0"/>
        </w:numPr>
        <w:ind w:left="420"/>
      </w:pPr>
      <w:r>
        <w:rPr>
          <w:rFonts w:hint="eastAsia"/>
        </w:rPr>
        <w:t>出球连接管限位环与内部屏蔽块限位环半径间隙圆周均匀分布。</w:t>
      </w:r>
    </w:p>
    <w:p w14:paraId="508C8C97">
      <w:pPr>
        <w:pStyle w:val="107"/>
        <w:spacing w:before="156" w:after="156"/>
      </w:pPr>
      <w:bookmarkStart w:id="249" w:name="_Toc444086067"/>
      <w:bookmarkStart w:id="250" w:name="_Toc28008"/>
      <w:bookmarkStart w:id="251" w:name="_Toc17361650"/>
      <w:bookmarkStart w:id="252" w:name="_Toc207715569"/>
      <w:bookmarkStart w:id="253" w:name="_Toc234677877"/>
      <w:r>
        <w:rPr>
          <w:rFonts w:hint="eastAsia"/>
        </w:rPr>
        <w:t>支承滚柱、下支承板和出球管等安装要求</w:t>
      </w:r>
      <w:bookmarkEnd w:id="249"/>
      <w:bookmarkEnd w:id="250"/>
      <w:bookmarkEnd w:id="251"/>
      <w:bookmarkEnd w:id="252"/>
      <w:bookmarkEnd w:id="253"/>
    </w:p>
    <w:p w14:paraId="3AFA4B88">
      <w:pPr>
        <w:pStyle w:val="67"/>
        <w:spacing w:before="156" w:after="156"/>
      </w:pPr>
      <w:r>
        <w:rPr>
          <w:rFonts w:hint="eastAsia"/>
        </w:rPr>
        <w:t>内环扇形板与支承滚柱组对</w:t>
      </w:r>
    </w:p>
    <w:p w14:paraId="2F306F9B">
      <w:pPr>
        <w:pStyle w:val="58"/>
        <w:ind w:firstLine="420"/>
      </w:pPr>
      <w:r>
        <w:rPr>
          <w:rFonts w:hint="eastAsia"/>
        </w:rPr>
        <w:t>支承滚柱组对检查参数如下：</w:t>
      </w:r>
    </w:p>
    <w:p w14:paraId="703666EC">
      <w:pPr>
        <w:pStyle w:val="245"/>
        <w:numPr>
          <w:ilvl w:val="0"/>
          <w:numId w:val="35"/>
        </w:numPr>
      </w:pPr>
      <w:r>
        <w:rPr>
          <w:rFonts w:hint="eastAsia"/>
        </w:rPr>
        <w:t>上盖板上表面沿堆芯壳周向高度差不大于0.05mm；</w:t>
      </w:r>
    </w:p>
    <w:p w14:paraId="72174EDD">
      <w:pPr>
        <w:pStyle w:val="245"/>
        <w:numPr>
          <w:ilvl w:val="0"/>
          <w:numId w:val="35"/>
        </w:numPr>
      </w:pPr>
      <w:r>
        <w:rPr>
          <w:rFonts w:hint="eastAsia"/>
        </w:rPr>
        <w:t>各支承滚柱组件内的沿堆芯壳的轴向间隙公差不大于0.04mm，上下盖板和支承滚柱应尽量安装在其名义尺寸值的位置上，所有支承滚柱组件均应支承受力；</w:t>
      </w:r>
    </w:p>
    <w:p w14:paraId="03395A1E">
      <w:pPr>
        <w:pStyle w:val="245"/>
        <w:numPr>
          <w:ilvl w:val="0"/>
          <w:numId w:val="35"/>
        </w:numPr>
      </w:pPr>
      <w:r>
        <w:rPr>
          <w:rFonts w:hint="eastAsia"/>
        </w:rPr>
        <w:t>出球管插入密封环、落位在内环扇形板后与出球连接管之间间隙应在5±0.25mm。出球管与出球连接管对接处应光滑过渡，不应有错边现象。出球管与堆芯壳的同轴度亦应满足要求；</w:t>
      </w:r>
    </w:p>
    <w:p w14:paraId="4A42DEAE">
      <w:pPr>
        <w:pStyle w:val="245"/>
        <w:numPr>
          <w:ilvl w:val="0"/>
          <w:numId w:val="35"/>
        </w:numPr>
      </w:pPr>
      <w:r>
        <w:rPr>
          <w:rFonts w:hint="eastAsia"/>
        </w:rPr>
        <w:t>在安装下支承板和出球管之后，出球管下端面和出球连接管凹槽之间轴向缝隙为5.0±0.5mm。</w:t>
      </w:r>
    </w:p>
    <w:p w14:paraId="02659262">
      <w:pPr>
        <w:pStyle w:val="67"/>
        <w:spacing w:before="156" w:after="156"/>
      </w:pPr>
      <w:r>
        <w:rPr>
          <w:rFonts w:hint="eastAsia"/>
        </w:rPr>
        <w:t>下支承板整体安装完成要求.</w:t>
      </w:r>
    </w:p>
    <w:p w14:paraId="0DAD6391">
      <w:pPr>
        <w:pStyle w:val="58"/>
        <w:ind w:firstLine="420"/>
      </w:pPr>
      <w:r>
        <w:rPr>
          <w:rFonts w:hint="eastAsia"/>
        </w:rPr>
        <w:t>下支承板组装检查参数要求如下：</w:t>
      </w:r>
    </w:p>
    <w:p w14:paraId="4FD15A5D">
      <w:pPr>
        <w:pStyle w:val="245"/>
        <w:numPr>
          <w:ilvl w:val="0"/>
          <w:numId w:val="36"/>
        </w:numPr>
      </w:pPr>
      <w:r>
        <w:rPr>
          <w:rFonts w:hint="eastAsia"/>
        </w:rPr>
        <w:t>下支承板和堆芯壳上法兰周向对应角度精度为±10”，转换为线性尺寸公差为下支撑板0°、90°、180°、270°线和堆芯壳上法兰0°、90°、180°、270°的线性尺寸公差为±0.13mm；</w:t>
      </w:r>
    </w:p>
    <w:p w14:paraId="2D848478">
      <w:pPr>
        <w:pStyle w:val="245"/>
        <w:numPr>
          <w:ilvl w:val="0"/>
          <w:numId w:val="36"/>
        </w:numPr>
      </w:pPr>
      <w:r>
        <w:rPr>
          <w:rFonts w:hint="eastAsia"/>
        </w:rPr>
        <w:t>下支承板和堆芯壳上法兰的同轴度为φ1.0mm；</w:t>
      </w:r>
    </w:p>
    <w:p w14:paraId="4FDAAB89">
      <w:pPr>
        <w:pStyle w:val="245"/>
        <w:numPr>
          <w:ilvl w:val="0"/>
          <w:numId w:val="36"/>
        </w:numPr>
      </w:pPr>
      <w:r>
        <w:rPr>
          <w:rFonts w:hint="eastAsia"/>
        </w:rPr>
        <w:t>下支承板圆周5处导向键和键槽之间加调整垫片，导向键两侧缝隙之和在0.15-0.20mm之间；</w:t>
      </w:r>
    </w:p>
    <w:p w14:paraId="12F38C9A">
      <w:pPr>
        <w:pStyle w:val="245"/>
        <w:numPr>
          <w:ilvl w:val="0"/>
          <w:numId w:val="36"/>
        </w:numPr>
      </w:pPr>
      <w:r>
        <w:rPr>
          <w:rFonts w:hint="eastAsia"/>
        </w:rPr>
        <w:t>下支承板上表面的水平度为0.2mm；</w:t>
      </w:r>
    </w:p>
    <w:p w14:paraId="24659DA7">
      <w:pPr>
        <w:pStyle w:val="245"/>
        <w:numPr>
          <w:ilvl w:val="0"/>
          <w:numId w:val="36"/>
        </w:numPr>
      </w:pPr>
      <w:r>
        <w:rPr>
          <w:rFonts w:hint="eastAsia"/>
        </w:rPr>
        <w:t>下支承板上表面至堆芯壳热气导管法兰轴线距离为1400±0.5mm；</w:t>
      </w:r>
    </w:p>
    <w:p w14:paraId="695DE1DD">
      <w:pPr>
        <w:pStyle w:val="245"/>
        <w:numPr>
          <w:ilvl w:val="0"/>
          <w:numId w:val="36"/>
        </w:numPr>
      </w:pPr>
      <w:r>
        <w:rPr>
          <w:rFonts w:hint="eastAsia"/>
        </w:rPr>
        <w:t>下支承板上表面安装的150个金属榫位置度为0.2mm。</w:t>
      </w:r>
    </w:p>
    <w:p w14:paraId="51AEBF17">
      <w:pPr>
        <w:pStyle w:val="106"/>
        <w:spacing w:before="312" w:after="312"/>
      </w:pPr>
      <w:bookmarkStart w:id="254" w:name="_Toc234677878"/>
      <w:bookmarkStart w:id="255" w:name="_Toc31263"/>
      <w:bookmarkStart w:id="256" w:name="_Toc17473247"/>
      <w:bookmarkStart w:id="257" w:name="_Toc207715570"/>
      <w:bookmarkStart w:id="258" w:name="_Toc447638190"/>
      <w:bookmarkStart w:id="259" w:name="_Toc444086068"/>
      <w:bookmarkStart w:id="260" w:name="_Toc17361651"/>
      <w:r>
        <w:rPr>
          <w:rFonts w:hint="eastAsia"/>
        </w:rPr>
        <w:t>石墨、碳堆芯支承结构安装</w:t>
      </w:r>
      <w:bookmarkEnd w:id="254"/>
      <w:bookmarkEnd w:id="255"/>
      <w:bookmarkEnd w:id="256"/>
      <w:bookmarkEnd w:id="257"/>
      <w:bookmarkEnd w:id="258"/>
    </w:p>
    <w:p w14:paraId="37E5AD19">
      <w:pPr>
        <w:pStyle w:val="107"/>
        <w:spacing w:before="156" w:after="156"/>
      </w:pPr>
      <w:bookmarkStart w:id="261" w:name="_Toc207715571"/>
      <w:bookmarkStart w:id="262" w:name="_Toc17473248"/>
      <w:bookmarkStart w:id="263" w:name="_Toc447638191"/>
      <w:bookmarkStart w:id="264" w:name="_Toc22757"/>
      <w:bookmarkStart w:id="265" w:name="_Toc234677879"/>
      <w:r>
        <w:rPr>
          <w:rFonts w:hint="eastAsia"/>
        </w:rPr>
        <w:t>石墨和碳堆芯支承结构安装的通用规定</w:t>
      </w:r>
      <w:bookmarkEnd w:id="261"/>
      <w:bookmarkEnd w:id="262"/>
      <w:bookmarkEnd w:id="263"/>
      <w:bookmarkEnd w:id="264"/>
      <w:bookmarkEnd w:id="265"/>
    </w:p>
    <w:p w14:paraId="012E6676">
      <w:pPr>
        <w:pStyle w:val="58"/>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石墨和碳堆芯支承结构安装期间的相关规定如下：</w:t>
      </w:r>
    </w:p>
    <w:p w14:paraId="6C1D7031">
      <w:pPr>
        <w:pStyle w:val="245"/>
        <w:numPr>
          <w:ilvl w:val="0"/>
          <w:numId w:val="37"/>
        </w:numPr>
        <w:ind w:left="840" w:leftChars="200" w:hanging="420" w:hangingChars="200"/>
      </w:pPr>
      <w:r>
        <w:rPr>
          <w:rFonts w:hint="eastAsia"/>
        </w:rPr>
        <w:t>石墨和碳砖的吊装应采用专用工具，如吸附吊、吊环螺钉和尼龙带等。</w:t>
      </w:r>
    </w:p>
    <w:p w14:paraId="4065F1E7">
      <w:pPr>
        <w:pStyle w:val="245"/>
        <w:numPr>
          <w:ilvl w:val="0"/>
          <w:numId w:val="37"/>
        </w:numPr>
        <w:ind w:left="840" w:leftChars="200" w:hanging="420" w:hangingChars="200"/>
      </w:pPr>
      <w:r>
        <w:rPr>
          <w:rFonts w:hint="eastAsia"/>
        </w:rPr>
        <w:t>石墨和碳堆芯支承结构的安装应严格遵循预组装中确定的编号方位，不得随意摆放；</w:t>
      </w:r>
    </w:p>
    <w:p w14:paraId="21FDF1BA">
      <w:pPr>
        <w:pStyle w:val="245"/>
        <w:numPr>
          <w:ilvl w:val="0"/>
          <w:numId w:val="37"/>
        </w:numPr>
        <w:ind w:left="840" w:leftChars="200" w:hanging="420" w:hangingChars="200"/>
      </w:pPr>
      <w:r>
        <w:rPr>
          <w:rFonts w:hint="eastAsia"/>
        </w:rPr>
        <w:t>吊装过程应缓慢平稳，防止砖之间或和其他物件之间碰撞。各种石墨和碳堆芯支承结构在安装过程中应能平滑就位，不得依靠外力强行装配，安装就位后各部件之间应无挤压且间隙均匀；</w:t>
      </w:r>
    </w:p>
    <w:p w14:paraId="262F3900">
      <w:pPr>
        <w:pStyle w:val="245"/>
        <w:numPr>
          <w:ilvl w:val="0"/>
          <w:numId w:val="37"/>
        </w:numPr>
        <w:ind w:left="840" w:leftChars="200" w:hanging="420" w:hangingChars="200"/>
      </w:pPr>
      <w:r>
        <w:rPr>
          <w:rFonts w:hint="eastAsia"/>
        </w:rPr>
        <w:t>石墨和碳堆芯支承结构在安装过程中设定堆芯壳上法兰轴线为基准线，以控制控制棒孔道对基准线的位置度为主，以吸收球对基准线的位置度为辅作为安装中的基准，下部结构中无控制棒孔道时，应以冷氦气孔道位置度作为测量基础；</w:t>
      </w:r>
    </w:p>
    <w:p w14:paraId="7CAA72F6">
      <w:pPr>
        <w:pStyle w:val="245"/>
        <w:numPr>
          <w:ilvl w:val="0"/>
          <w:numId w:val="37"/>
        </w:numPr>
        <w:ind w:left="840" w:leftChars="200" w:hanging="420" w:hangingChars="200"/>
      </w:pPr>
      <w:r>
        <w:rPr>
          <w:rFonts w:hint="eastAsia"/>
        </w:rPr>
        <w:t>碳砖结构和石墨砌体的侧面不得产生过盈配合，安装缝隙用缝隙垫板调整；</w:t>
      </w:r>
    </w:p>
    <w:p w14:paraId="32094FE3">
      <w:pPr>
        <w:pStyle w:val="245"/>
        <w:numPr>
          <w:ilvl w:val="0"/>
          <w:numId w:val="37"/>
        </w:numPr>
        <w:ind w:left="840" w:leftChars="200" w:hanging="420" w:hangingChars="200"/>
      </w:pPr>
      <w:r>
        <w:rPr>
          <w:rFonts w:hint="eastAsia"/>
        </w:rPr>
        <w:t>凡用吊环螺钉吊装的石墨砖，应在石墨砖就位后将吊环螺钉旋出；</w:t>
      </w:r>
    </w:p>
    <w:p w14:paraId="2A4A8F82">
      <w:pPr>
        <w:pStyle w:val="245"/>
        <w:numPr>
          <w:ilvl w:val="0"/>
          <w:numId w:val="37"/>
        </w:numPr>
        <w:ind w:left="840" w:leftChars="200" w:hanging="420" w:hangingChars="200"/>
      </w:pPr>
      <w:r>
        <w:rPr>
          <w:rFonts w:hint="eastAsia"/>
        </w:rPr>
        <w:t>各层石墨和碳堆芯支承结构安装前，需确认下层的榫、键、密封条、套环全部安装到位；安装后，需将套筒装入孔道；</w:t>
      </w:r>
    </w:p>
    <w:p w14:paraId="0970321E">
      <w:pPr>
        <w:pStyle w:val="245"/>
        <w:numPr>
          <w:ilvl w:val="0"/>
          <w:numId w:val="37"/>
        </w:numPr>
        <w:ind w:left="840" w:leftChars="200" w:hanging="420" w:hangingChars="200"/>
      </w:pPr>
      <w:r>
        <w:rPr>
          <w:rFonts w:hint="eastAsia"/>
        </w:rPr>
        <w:t>销、键或石墨套筒、套环可以用手工搬运安装，应轻拿轻放；</w:t>
      </w:r>
    </w:p>
    <w:p w14:paraId="303F4BBE">
      <w:pPr>
        <w:pStyle w:val="245"/>
        <w:numPr>
          <w:ilvl w:val="0"/>
          <w:numId w:val="37"/>
        </w:numPr>
        <w:ind w:left="840" w:leftChars="200" w:hanging="420" w:hangingChars="200"/>
      </w:pPr>
      <w:r>
        <w:rPr>
          <w:rFonts w:hint="eastAsia"/>
        </w:rPr>
        <w:t>对于破损的砖块，应按照有关技术条件检验，符合要求的继续使用，不符合要求的更换为备用件或重新加工，确保实际安装的砖块符合技术要求；</w:t>
      </w:r>
    </w:p>
    <w:p w14:paraId="07497D43">
      <w:pPr>
        <w:pStyle w:val="245"/>
        <w:numPr>
          <w:ilvl w:val="0"/>
          <w:numId w:val="37"/>
        </w:numPr>
        <w:ind w:left="840" w:leftChars="200" w:hanging="420" w:hangingChars="200"/>
      </w:pPr>
      <w:r>
        <w:rPr>
          <w:rFonts w:hint="eastAsia"/>
        </w:rPr>
        <w:t>热电偶的沟槽所在砖的位置符合图纸要求；</w:t>
      </w:r>
    </w:p>
    <w:p w14:paraId="29572086">
      <w:pPr>
        <w:pStyle w:val="245"/>
        <w:numPr>
          <w:ilvl w:val="0"/>
          <w:numId w:val="37"/>
        </w:numPr>
        <w:ind w:left="840" w:leftChars="200" w:hanging="420" w:hangingChars="200"/>
      </w:pPr>
      <w:r>
        <w:rPr>
          <w:rFonts w:hint="eastAsia"/>
        </w:rPr>
        <w:t>应根据每层的具体情况，预先对碳砖、石墨砖、热电偶及导线等部件作出合理安装顺序、防止临场安装时无序操作；</w:t>
      </w:r>
    </w:p>
    <w:p w14:paraId="0E877C77">
      <w:pPr>
        <w:pStyle w:val="245"/>
        <w:numPr>
          <w:ilvl w:val="0"/>
          <w:numId w:val="37"/>
        </w:numPr>
        <w:ind w:left="840" w:leftChars="200" w:hanging="420" w:hangingChars="200"/>
      </w:pPr>
      <w:r>
        <w:rPr>
          <w:rFonts w:hint="eastAsia"/>
        </w:rPr>
        <w:t>安装完的孔应及时加上孔盖，安装过程中应防止工具和小部件掉入各种孔道、堆芯腔和外围环缝；</w:t>
      </w:r>
    </w:p>
    <w:p w14:paraId="7EBE9527">
      <w:pPr>
        <w:pStyle w:val="245"/>
        <w:numPr>
          <w:ilvl w:val="0"/>
          <w:numId w:val="37"/>
        </w:numPr>
        <w:ind w:left="840" w:leftChars="200" w:hanging="420" w:hangingChars="200"/>
      </w:pPr>
      <w:r>
        <w:rPr>
          <w:rFonts w:hint="eastAsia"/>
        </w:rPr>
        <w:t>不应采取水冲洗的方法，也不应采用机械打磨的方法进行清洁；</w:t>
      </w:r>
    </w:p>
    <w:p w14:paraId="706CF4A6">
      <w:pPr>
        <w:pStyle w:val="245"/>
        <w:numPr>
          <w:ilvl w:val="0"/>
          <w:numId w:val="37"/>
        </w:numPr>
        <w:ind w:left="840" w:leftChars="200" w:hanging="420" w:hangingChars="200"/>
      </w:pPr>
      <w:r>
        <w:rPr>
          <w:rFonts w:hint="eastAsia"/>
        </w:rPr>
        <w:t>清洁不得改变石墨和碳材料表面的特性、粗糙度或引入可能造成破坏的杂物。应根据石墨和碳砖安装特点制定相应清洁程序；</w:t>
      </w:r>
    </w:p>
    <w:p w14:paraId="1EF26B55">
      <w:pPr>
        <w:pStyle w:val="245"/>
        <w:numPr>
          <w:ilvl w:val="0"/>
          <w:numId w:val="37"/>
        </w:numPr>
        <w:ind w:left="840" w:leftChars="200" w:hanging="420" w:hangingChars="200"/>
      </w:pPr>
      <w:r>
        <w:rPr>
          <w:rFonts w:hint="eastAsia"/>
        </w:rPr>
        <w:t>各种孔道在安装过程中需加盖防止异物进入，对于落入堆内的物件应取出；</w:t>
      </w:r>
    </w:p>
    <w:p w14:paraId="550C6C6D">
      <w:pPr>
        <w:pStyle w:val="245"/>
        <w:numPr>
          <w:ilvl w:val="0"/>
          <w:numId w:val="37"/>
        </w:numPr>
        <w:ind w:left="840" w:leftChars="200" w:hanging="420" w:hangingChars="200"/>
      </w:pPr>
      <w:r>
        <w:rPr>
          <w:rFonts w:hint="eastAsia"/>
        </w:rPr>
        <w:t>对石墨和碳堆芯支承结构的所有操作应在规定的清洁区进行，禁止在安装现场进行砖块的清洁、修理和组装含硼石墨棒；</w:t>
      </w:r>
    </w:p>
    <w:p w14:paraId="58A8758D">
      <w:pPr>
        <w:pStyle w:val="245"/>
        <w:numPr>
          <w:ilvl w:val="0"/>
          <w:numId w:val="37"/>
        </w:numPr>
        <w:ind w:left="840" w:leftChars="200" w:hanging="420" w:hangingChars="200"/>
      </w:pPr>
      <w:r>
        <w:rPr>
          <w:rFonts w:hint="eastAsia"/>
        </w:rPr>
        <w:t>各层石墨和碳砖部件应在各层安装完成后予以检查、验收并记录，合格后方可继续安装。设备安装中应进行自检、互检和专业检查，并应对质量跟踪文件中要求的工序进行记录；</w:t>
      </w:r>
    </w:p>
    <w:p w14:paraId="51B287E6">
      <w:pPr>
        <w:pStyle w:val="245"/>
        <w:numPr>
          <w:ilvl w:val="0"/>
          <w:numId w:val="37"/>
        </w:numPr>
        <w:ind w:left="840" w:leftChars="200" w:hanging="420" w:hangingChars="200"/>
      </w:pPr>
      <w:r>
        <w:rPr>
          <w:rFonts w:hint="eastAsia"/>
        </w:rPr>
        <w:t>各层石墨和碳砖部件在安装各层安装完后应通过检查和验收，任何层次未经过检查和验收的不得进行下一层的安装；</w:t>
      </w:r>
    </w:p>
    <w:p w14:paraId="49146F0D">
      <w:pPr>
        <w:pStyle w:val="245"/>
        <w:numPr>
          <w:ilvl w:val="0"/>
          <w:numId w:val="37"/>
        </w:numPr>
        <w:ind w:left="840" w:leftChars="200" w:hanging="420" w:hangingChars="200"/>
      </w:pPr>
      <w:r>
        <w:rPr>
          <w:rFonts w:hint="eastAsia"/>
        </w:rPr>
        <w:t>石墨和碳堆芯支承结构安装的总体顺序依次是卸球管组件和底部碳砖绝热层、石墨底部反射层和热气室结构及侧碳砖绝热层、石墨侧反射层和石墨顶反射层及侧碳砖绝热层、顶部碳砖绝热层。期间需穿插热电偶安装。</w:t>
      </w:r>
    </w:p>
    <w:p w14:paraId="2FF5202A">
      <w:pPr>
        <w:pStyle w:val="107"/>
        <w:spacing w:before="156" w:after="156"/>
      </w:pPr>
      <w:bookmarkStart w:id="266" w:name="_Toc17473249"/>
      <w:bookmarkStart w:id="267" w:name="_Toc276716517"/>
      <w:bookmarkStart w:id="268" w:name="_Toc207715572"/>
      <w:bookmarkStart w:id="269" w:name="_Toc23300"/>
      <w:bookmarkStart w:id="270" w:name="_Toc234677880"/>
      <w:bookmarkStart w:id="271" w:name="_Toc434311923"/>
      <w:bookmarkStart w:id="272" w:name="_Toc447638192"/>
      <w:r>
        <w:rPr>
          <w:rFonts w:hint="eastAsia"/>
        </w:rPr>
        <w:t>底绝热层碳砖的安装</w:t>
      </w:r>
      <w:bookmarkEnd w:id="266"/>
      <w:bookmarkEnd w:id="267"/>
      <w:bookmarkEnd w:id="268"/>
      <w:bookmarkEnd w:id="269"/>
      <w:bookmarkEnd w:id="270"/>
      <w:bookmarkEnd w:id="271"/>
      <w:bookmarkEnd w:id="272"/>
    </w:p>
    <w:p w14:paraId="69DFA7F3">
      <w:pPr>
        <w:pStyle w:val="58"/>
        <w:tabs>
          <w:tab w:val="left" w:pos="840"/>
        </w:tabs>
        <w:ind w:firstLineChars="0"/>
      </w:pPr>
      <w:r>
        <w:rPr>
          <w:rFonts w:hint="eastAsia"/>
        </w:rPr>
        <w:t>底绝热层碳砖安装的相关要求如下：</w:t>
      </w:r>
    </w:p>
    <w:p w14:paraId="443AF410">
      <w:pPr>
        <w:pStyle w:val="245"/>
        <w:numPr>
          <w:ilvl w:val="0"/>
          <w:numId w:val="38"/>
        </w:numPr>
      </w:pPr>
      <w:r>
        <w:rPr>
          <w:rFonts w:hint="eastAsia"/>
        </w:rPr>
        <w:t>安装前确认下支承板和堆芯壳上法兰面水平度必须正确；</w:t>
      </w:r>
    </w:p>
    <w:p w14:paraId="24B1DB09">
      <w:pPr>
        <w:pStyle w:val="245"/>
        <w:numPr>
          <w:ilvl w:val="0"/>
          <w:numId w:val="38"/>
        </w:numPr>
      </w:pPr>
      <w:r>
        <w:rPr>
          <w:rFonts w:hint="eastAsia"/>
        </w:rPr>
        <w:t>底部碳砖组装之前应先将下限位工字钢安装完毕；</w:t>
      </w:r>
    </w:p>
    <w:p w14:paraId="562CBE36">
      <w:pPr>
        <w:pStyle w:val="245"/>
        <w:numPr>
          <w:ilvl w:val="0"/>
          <w:numId w:val="38"/>
        </w:numPr>
      </w:pPr>
      <w:r>
        <w:rPr>
          <w:rFonts w:hint="eastAsia"/>
        </w:rPr>
        <w:t>检查堆芯壳下支承板上金属榫是否安装到位；</w:t>
      </w:r>
    </w:p>
    <w:p w14:paraId="0D8A0492">
      <w:pPr>
        <w:pStyle w:val="245"/>
        <w:numPr>
          <w:ilvl w:val="0"/>
          <w:numId w:val="38"/>
        </w:numPr>
      </w:pPr>
      <w:r>
        <w:rPr>
          <w:rFonts w:hint="eastAsia"/>
        </w:rPr>
        <w:t>最底层碳砖应对准金属榫和各种金属管接头，碳砖底部与金属榫之间保持间隙配合。碳砖不得和下阻流环相连或相碰；</w:t>
      </w:r>
    </w:p>
    <w:p w14:paraId="02DE1E8C">
      <w:pPr>
        <w:pStyle w:val="245"/>
        <w:numPr>
          <w:ilvl w:val="0"/>
          <w:numId w:val="38"/>
        </w:numPr>
      </w:pPr>
      <w:r>
        <w:rPr>
          <w:rFonts w:hint="eastAsia"/>
        </w:rPr>
        <w:t>卸球管安装完毕后需满足：上表面平面度0.3mm，上表面标高允许偏差±0.25mm，内径直径尺寸公差±0.15mm，外平面距中心409.2mm，砖之间缝隙值1.6mm；</w:t>
      </w:r>
    </w:p>
    <w:p w14:paraId="1E469B9B">
      <w:pPr>
        <w:pStyle w:val="245"/>
        <w:numPr>
          <w:ilvl w:val="0"/>
          <w:numId w:val="38"/>
        </w:numPr>
      </w:pPr>
      <w:r>
        <w:rPr>
          <w:rFonts w:hint="eastAsia"/>
        </w:rPr>
        <w:t>底碳砖安装完毕后需满足：上表面平面度小于0.3mm，上表面标高允许偏差±0.25mm，外环碳砖对边距离5000±0.50mm，吸收球孔道位置度0.6mm，冷氦气孔道位置度0.6mm，环向及径向缝隙范围为2±0.200mmm。垂直缝隙的等效垂直度为0.200mm。</w:t>
      </w:r>
    </w:p>
    <w:p w14:paraId="15CC4C60">
      <w:pPr>
        <w:pStyle w:val="107"/>
        <w:spacing w:before="156" w:after="156"/>
      </w:pPr>
      <w:bookmarkStart w:id="273" w:name="_Toc12734"/>
      <w:bookmarkStart w:id="274" w:name="_Toc234677881"/>
      <w:bookmarkStart w:id="275" w:name="_Toc17473250"/>
      <w:bookmarkStart w:id="276" w:name="_Toc447638193"/>
      <w:bookmarkStart w:id="277" w:name="_Toc207715573"/>
      <w:bookmarkStart w:id="278" w:name="_Toc434311925"/>
      <w:r>
        <w:rPr>
          <w:rFonts w:hint="eastAsia"/>
        </w:rPr>
        <w:t>底反射层和热气室结构安装</w:t>
      </w:r>
      <w:bookmarkEnd w:id="273"/>
      <w:bookmarkEnd w:id="274"/>
      <w:bookmarkEnd w:id="275"/>
      <w:bookmarkEnd w:id="276"/>
      <w:bookmarkEnd w:id="277"/>
      <w:bookmarkEnd w:id="278"/>
    </w:p>
    <w:p w14:paraId="599AB8CB">
      <w:pPr>
        <w:pStyle w:val="58"/>
        <w:tabs>
          <w:tab w:val="left" w:pos="840"/>
        </w:tabs>
        <w:ind w:firstLine="420"/>
      </w:pPr>
      <w:r>
        <w:rPr>
          <w:rFonts w:hint="eastAsia"/>
        </w:rPr>
        <w:t>底反射层和热气室结构安装的相关要求如下：</w:t>
      </w:r>
    </w:p>
    <w:p w14:paraId="1FB02D3F">
      <w:pPr>
        <w:pStyle w:val="245"/>
        <w:numPr>
          <w:ilvl w:val="0"/>
          <w:numId w:val="39"/>
        </w:numPr>
      </w:pPr>
      <w:r>
        <w:rPr>
          <w:rFonts w:hint="eastAsia"/>
        </w:rPr>
        <w:t>热气室安装完毕后需满足：各层上表面平面度0.3mm，各层面标高允许公差±0.25mm，冷氦气孔道位置度0.6mm，环向及径向缝隙范围为2±0.200mmm。垂直缝隙的等效垂直度为0.200mm；</w:t>
      </w:r>
    </w:p>
    <w:p w14:paraId="44C49A23">
      <w:pPr>
        <w:pStyle w:val="245"/>
        <w:numPr>
          <w:ilvl w:val="0"/>
          <w:numId w:val="39"/>
        </w:numPr>
      </w:pPr>
      <w:r>
        <w:rPr>
          <w:rFonts w:hint="eastAsia"/>
        </w:rPr>
        <w:t>出球管直径尺寸公差±0.15mm；</w:t>
      </w:r>
    </w:p>
    <w:p w14:paraId="4559F8CC">
      <w:pPr>
        <w:pStyle w:val="245"/>
        <w:numPr>
          <w:ilvl w:val="0"/>
          <w:numId w:val="39"/>
        </w:numPr>
      </w:pPr>
      <w:r>
        <w:rPr>
          <w:rFonts w:hint="eastAsia"/>
        </w:rPr>
        <w:t>出口碳砖与热气导管配合尺寸满足：热气出口碳砖内平面到中心的距离2140.80±0.20mm，外侧沉孔直径Φ1080mm，沉孔平面垂直度0.20mm；</w:t>
      </w:r>
    </w:p>
    <w:p w14:paraId="27AA79E9">
      <w:pPr>
        <w:pStyle w:val="245"/>
        <w:numPr>
          <w:ilvl w:val="0"/>
          <w:numId w:val="39"/>
        </w:numPr>
      </w:pPr>
      <w:r>
        <w:rPr>
          <w:rFonts w:hint="eastAsia"/>
        </w:rPr>
        <w:t>出口碳砖在安装过程中应辅以临时支撑，且该临时支撑在安装到第七层石墨砖之前不得撤出；</w:t>
      </w:r>
    </w:p>
    <w:p w14:paraId="5213A447">
      <w:pPr>
        <w:pStyle w:val="245"/>
        <w:numPr>
          <w:ilvl w:val="0"/>
          <w:numId w:val="39"/>
        </w:numPr>
      </w:pPr>
      <w:r>
        <w:rPr>
          <w:rFonts w:hint="eastAsia"/>
        </w:rPr>
        <w:t>侧碳砖与限位工字钢的缝隙为2±0.20mm，不应存在碰撞；</w:t>
      </w:r>
    </w:p>
    <w:p w14:paraId="56922051">
      <w:pPr>
        <w:pStyle w:val="245"/>
        <w:numPr>
          <w:ilvl w:val="0"/>
          <w:numId w:val="39"/>
        </w:numPr>
      </w:pPr>
      <w:r>
        <w:rPr>
          <w:rFonts w:hint="eastAsia"/>
        </w:rPr>
        <w:t>在热气导管试安装中，出口碳砖与热气导管碳砖环接触面应吻合；</w:t>
      </w:r>
    </w:p>
    <w:p w14:paraId="3EEEAC2D">
      <w:pPr>
        <w:pStyle w:val="245"/>
        <w:numPr>
          <w:ilvl w:val="0"/>
          <w:numId w:val="39"/>
        </w:numPr>
      </w:pPr>
      <w:r>
        <w:rPr>
          <w:rFonts w:hint="eastAsia"/>
        </w:rPr>
        <w:t>含硼B4C石墨棒的安装需符合本规定要求。</w:t>
      </w:r>
    </w:p>
    <w:p w14:paraId="655011A3">
      <w:pPr>
        <w:pStyle w:val="107"/>
        <w:spacing w:before="156" w:after="156"/>
      </w:pPr>
      <w:bookmarkStart w:id="279" w:name="_Toc11518"/>
      <w:bookmarkStart w:id="280" w:name="_Toc207715574"/>
      <w:bookmarkStart w:id="281" w:name="_Toc17473251"/>
      <w:bookmarkStart w:id="282" w:name="_Toc234677882"/>
      <w:bookmarkStart w:id="283" w:name="_Toc447638194"/>
      <w:r>
        <w:rPr>
          <w:rFonts w:hint="eastAsia"/>
        </w:rPr>
        <w:t>底反射层石墨砖的安装</w:t>
      </w:r>
      <w:bookmarkEnd w:id="279"/>
      <w:bookmarkEnd w:id="280"/>
      <w:bookmarkEnd w:id="281"/>
      <w:bookmarkEnd w:id="282"/>
      <w:bookmarkEnd w:id="283"/>
    </w:p>
    <w:p w14:paraId="4BC18B82">
      <w:pPr>
        <w:pStyle w:val="58"/>
        <w:tabs>
          <w:tab w:val="left" w:pos="840"/>
        </w:tabs>
        <w:ind w:firstLine="420"/>
      </w:pPr>
      <w:r>
        <w:rPr>
          <w:rFonts w:hint="eastAsia"/>
        </w:rPr>
        <w:t>底反射层石墨砖安装的相关要求如下：</w:t>
      </w:r>
    </w:p>
    <w:p w14:paraId="5B11C647">
      <w:pPr>
        <w:pStyle w:val="245"/>
        <w:numPr>
          <w:ilvl w:val="0"/>
          <w:numId w:val="40"/>
        </w:numPr>
      </w:pPr>
      <w:r>
        <w:rPr>
          <w:rFonts w:hint="eastAsia"/>
        </w:rPr>
        <w:t>开始安装前需测量控制棒孔道底端的位置度，对比压力容器顶盖上的24个控制棒驱动机构法兰座的位置尺寸，两者偏差应符合设计要求；</w:t>
      </w:r>
    </w:p>
    <w:p w14:paraId="53F079A5">
      <w:pPr>
        <w:pStyle w:val="245"/>
        <w:numPr>
          <w:ilvl w:val="0"/>
          <w:numId w:val="40"/>
        </w:numPr>
      </w:pPr>
      <w:r>
        <w:rPr>
          <w:rFonts w:hint="eastAsia"/>
        </w:rPr>
        <w:t>安装中要保证石墨环外对边尺寸为5000±0.50mm，同层石墨砖之间的缝隙为1.6±0.200mm。各层平面标高满足图纸要求，各层面标高允许公差±0.25mm，各层上表面平面度0.3mm，吸收球孔道以及控制棒孔道位置度φ0.60，垂直缝隙的等效垂直度为0.200mm；</w:t>
      </w:r>
    </w:p>
    <w:p w14:paraId="4B777F57">
      <w:pPr>
        <w:pStyle w:val="245"/>
        <w:numPr>
          <w:ilvl w:val="0"/>
          <w:numId w:val="40"/>
        </w:numPr>
      </w:pPr>
      <w:r>
        <w:rPr>
          <w:rFonts w:hint="eastAsia"/>
        </w:rPr>
        <w:t>安装底反射层最上方两层时视情况装入控制棒缓冲器，装入的缓冲器应坐实，不得歪斜。安装缓冲器的过程中应防止金属设备撞击石墨结构；</w:t>
      </w:r>
    </w:p>
    <w:p w14:paraId="425D02A0">
      <w:pPr>
        <w:pStyle w:val="245"/>
        <w:numPr>
          <w:ilvl w:val="0"/>
          <w:numId w:val="40"/>
        </w:numPr>
      </w:pPr>
      <w:r>
        <w:rPr>
          <w:rFonts w:hint="eastAsia"/>
        </w:rPr>
        <w:t>斜面石墨砖对接触应平滑，下位砖应低于上位砖2mm；</w:t>
      </w:r>
    </w:p>
    <w:p w14:paraId="053A7BAF">
      <w:pPr>
        <w:pStyle w:val="245"/>
        <w:numPr>
          <w:ilvl w:val="0"/>
          <w:numId w:val="40"/>
        </w:numPr>
      </w:pPr>
      <w:r>
        <w:rPr>
          <w:rFonts w:hint="eastAsia"/>
        </w:rPr>
        <w:t>箍紧带安装过程不得使用蛮力，箍紧带安装合格后应用锁紧钢丝绳对连接销钉进行防松处理。</w:t>
      </w:r>
    </w:p>
    <w:p w14:paraId="2FA7ADF6">
      <w:pPr>
        <w:pStyle w:val="107"/>
        <w:spacing w:before="156" w:after="156"/>
      </w:pPr>
      <w:bookmarkStart w:id="284" w:name="_Toc207715575"/>
      <w:bookmarkStart w:id="285" w:name="_Toc14564"/>
      <w:bookmarkStart w:id="286" w:name="_Toc447638195"/>
      <w:bookmarkStart w:id="287" w:name="_Toc17473252"/>
      <w:bookmarkStart w:id="288" w:name="_Toc434311926"/>
      <w:bookmarkStart w:id="289" w:name="_Toc234677883"/>
      <w:r>
        <w:rPr>
          <w:rFonts w:hint="eastAsia"/>
        </w:rPr>
        <w:t>侧反射层石墨砖和侧绝热层碳砖安装</w:t>
      </w:r>
      <w:bookmarkEnd w:id="284"/>
      <w:bookmarkEnd w:id="285"/>
      <w:bookmarkEnd w:id="286"/>
      <w:bookmarkEnd w:id="287"/>
      <w:bookmarkEnd w:id="288"/>
      <w:bookmarkEnd w:id="289"/>
    </w:p>
    <w:p w14:paraId="4EC9717C">
      <w:pPr>
        <w:pStyle w:val="58"/>
        <w:tabs>
          <w:tab w:val="left" w:pos="840"/>
        </w:tabs>
        <w:ind w:firstLine="420"/>
      </w:pPr>
      <w:r>
        <w:rPr>
          <w:rFonts w:hint="eastAsia"/>
        </w:rPr>
        <w:t>侧反射层石墨砖和侧绝热层碳砖安装的相关要求如下：</w:t>
      </w:r>
    </w:p>
    <w:p w14:paraId="211387F4">
      <w:pPr>
        <w:pStyle w:val="245"/>
        <w:numPr>
          <w:ilvl w:val="0"/>
          <w:numId w:val="41"/>
        </w:numPr>
      </w:pPr>
      <w:r>
        <w:rPr>
          <w:rFonts w:hint="eastAsia"/>
        </w:rPr>
        <w:t>安装中要保证石墨环内对边尺寸为3000±0.35mm,环外对边尺寸为4498.40±0.25mm，碳砖外对边尺寸为5000±0.50mm，侧反射层石墨砖之间及与侧绝热层碳砖之间的缝隙为1.6±0.200mm。各层平面标高满足图纸要求；</w:t>
      </w:r>
    </w:p>
    <w:p w14:paraId="05535052">
      <w:pPr>
        <w:pStyle w:val="245"/>
        <w:numPr>
          <w:ilvl w:val="0"/>
          <w:numId w:val="41"/>
        </w:numPr>
      </w:pPr>
      <w:r>
        <w:rPr>
          <w:rFonts w:hint="eastAsia"/>
        </w:rPr>
        <w:t>侧反射层石墨砖各层平面度、垂直度以及各种孔道位置度随层数增加而增大：首层上表面平面度0.30，垂直度0.20，吸收球孔道以及氦气孔道位置度φ0.60；侧反射层石墨砖顶层上表面平面度0.50，垂直度0.38，控制棒孔道、吸收球孔道以及中子源孔道位置度φ0.80，其他层参数详见安装图册。安装过程中要将每层的误差控制在安装图要求的范围内；</w:t>
      </w:r>
    </w:p>
    <w:p w14:paraId="683D0180">
      <w:pPr>
        <w:pStyle w:val="245"/>
        <w:numPr>
          <w:ilvl w:val="0"/>
          <w:numId w:val="41"/>
        </w:numPr>
      </w:pPr>
      <w:r>
        <w:rPr>
          <w:rFonts w:hint="eastAsia"/>
        </w:rPr>
        <w:t>砖块尺寸检查合格后，方可进行防旋键和箍紧带的安装；</w:t>
      </w:r>
    </w:p>
    <w:p w14:paraId="076F6FAF">
      <w:pPr>
        <w:pStyle w:val="245"/>
        <w:numPr>
          <w:ilvl w:val="0"/>
          <w:numId w:val="41"/>
        </w:numPr>
      </w:pPr>
      <w:r>
        <w:rPr>
          <w:rFonts w:hint="eastAsia"/>
        </w:rPr>
        <w:t>防旋键插入碳砖后不得承受环向力，通过插入不同厚度垫片调整到防旋键和碳砖键槽双边累计缝隙间隔0.40±0.05mm，单边间隙约0.2mm。安装调整后防旋键顶面与碳砖防旋键槽底径向间隙9mm；</w:t>
      </w:r>
    </w:p>
    <w:p w14:paraId="591C3A6E">
      <w:pPr>
        <w:pStyle w:val="245"/>
        <w:numPr>
          <w:ilvl w:val="0"/>
          <w:numId w:val="41"/>
        </w:numPr>
      </w:pPr>
      <w:r>
        <w:rPr>
          <w:rFonts w:hint="eastAsia"/>
        </w:rPr>
        <w:t>验收合格后需拧紧防旋键的固定螺栓并可靠机械防松。预紧力矩：600N·m；</w:t>
      </w:r>
    </w:p>
    <w:p w14:paraId="2AFA6E18">
      <w:pPr>
        <w:pStyle w:val="245"/>
        <w:numPr>
          <w:ilvl w:val="0"/>
          <w:numId w:val="41"/>
        </w:numPr>
      </w:pPr>
      <w:r>
        <w:rPr>
          <w:rFonts w:hint="eastAsia"/>
        </w:rPr>
        <w:t>热电偶的沟槽所在砖的位置符合图纸要求。侧反射层石墨砖与侧碳砖层碳砖之间热电偶导线沟槽连接吻合；</w:t>
      </w:r>
    </w:p>
    <w:p w14:paraId="645E6A47">
      <w:pPr>
        <w:pStyle w:val="245"/>
        <w:numPr>
          <w:ilvl w:val="0"/>
          <w:numId w:val="41"/>
        </w:numPr>
      </w:pPr>
      <w:r>
        <w:rPr>
          <w:rFonts w:hint="eastAsia"/>
        </w:rPr>
        <w:t>安装过程中，超过石墨球安装标高的部分应设置安全气垫作为防护垫。安全气垫应防火，直径不大于3米，每个高度约为1.2米，接缝处要密封严实。</w:t>
      </w:r>
    </w:p>
    <w:p w14:paraId="152024A6">
      <w:pPr>
        <w:pStyle w:val="107"/>
        <w:spacing w:before="156" w:after="156"/>
      </w:pPr>
      <w:bookmarkStart w:id="290" w:name="_Toc26738"/>
      <w:bookmarkStart w:id="291" w:name="_Toc434311928"/>
      <w:bookmarkStart w:id="292" w:name="_Toc207715576"/>
      <w:bookmarkStart w:id="293" w:name="_Toc234677884"/>
      <w:bookmarkStart w:id="294" w:name="_Toc447638196"/>
      <w:bookmarkStart w:id="295" w:name="_Toc17473253"/>
      <w:r>
        <w:rPr>
          <w:rFonts w:hint="eastAsia"/>
        </w:rPr>
        <w:t>顶反射层石墨砖和侧绝热层碳砖安装</w:t>
      </w:r>
      <w:bookmarkEnd w:id="290"/>
      <w:bookmarkEnd w:id="291"/>
      <w:bookmarkEnd w:id="292"/>
      <w:bookmarkEnd w:id="293"/>
      <w:bookmarkEnd w:id="294"/>
      <w:bookmarkEnd w:id="295"/>
    </w:p>
    <w:p w14:paraId="0D2ABBA4">
      <w:pPr>
        <w:pStyle w:val="58"/>
        <w:ind w:firstLine="420"/>
      </w:pPr>
      <w:r>
        <w:rPr>
          <w:rFonts w:hint="eastAsia"/>
        </w:rPr>
        <w:t>顶反射层石墨砖和侧绝热层碳砖安装的相关要求如下：</w:t>
      </w:r>
    </w:p>
    <w:p w14:paraId="3B6D330F">
      <w:pPr>
        <w:pStyle w:val="245"/>
        <w:numPr>
          <w:ilvl w:val="0"/>
          <w:numId w:val="42"/>
        </w:numPr>
      </w:pPr>
      <w:r>
        <w:rPr>
          <w:rFonts w:hint="eastAsia"/>
        </w:rPr>
        <w:t>顶反射层石墨砖的外围尺寸和公差为4498.4±0.25mm。侧反射层碳砖外对边尺寸5000±0. 50mm、碳砖间隙1.6±0.2mm，碳砖外表面与限位工字钢之间的间隙2±0.2mm；</w:t>
      </w:r>
    </w:p>
    <w:p w14:paraId="674C8DEE">
      <w:pPr>
        <w:pStyle w:val="245"/>
        <w:numPr>
          <w:ilvl w:val="0"/>
          <w:numId w:val="42"/>
        </w:numPr>
      </w:pPr>
      <w:r>
        <w:rPr>
          <w:rFonts w:hint="eastAsia"/>
        </w:rPr>
        <w:t>最后一层侧碳砖的燕尾键高度不能超过碳砖的高度，多余部分需打磨；</w:t>
      </w:r>
    </w:p>
    <w:p w14:paraId="7EEDC83C">
      <w:pPr>
        <w:pStyle w:val="245"/>
        <w:numPr>
          <w:ilvl w:val="0"/>
          <w:numId w:val="42"/>
        </w:numPr>
      </w:pPr>
      <w:r>
        <w:rPr>
          <w:rFonts w:hint="eastAsia"/>
        </w:rPr>
        <w:t>四层石墨砖的平面度为0.55mm，总体垂直度为0.42mm；</w:t>
      </w:r>
    </w:p>
    <w:p w14:paraId="0327B1C4">
      <w:pPr>
        <w:pStyle w:val="245"/>
        <w:numPr>
          <w:ilvl w:val="0"/>
          <w:numId w:val="42"/>
        </w:numPr>
      </w:pPr>
      <w:r>
        <w:rPr>
          <w:rFonts w:hint="eastAsia"/>
        </w:rPr>
        <w:t>控制棒导向孔道的位置度为φ0.80,吸收球孔道的位置度φ0.80mm，冷氦气孔道的位置度为φ0.80mm；</w:t>
      </w:r>
    </w:p>
    <w:p w14:paraId="24DB6B5F">
      <w:pPr>
        <w:pStyle w:val="245"/>
        <w:numPr>
          <w:ilvl w:val="0"/>
          <w:numId w:val="42"/>
        </w:numPr>
      </w:pPr>
      <w:r>
        <w:rPr>
          <w:rFonts w:hint="eastAsia"/>
        </w:rPr>
        <w:t>放入两个石墨塞和它们之间的石墨套环、套筒。石墨塞上表面低于石墨砖上表面的最小名义距离为0.500mm。石墨砖和石墨塞之间的最小缝隙为0.500mm；</w:t>
      </w:r>
    </w:p>
    <w:p w14:paraId="10B2D3B7">
      <w:pPr>
        <w:pStyle w:val="245"/>
        <w:numPr>
          <w:ilvl w:val="0"/>
          <w:numId w:val="42"/>
        </w:numPr>
      </w:pPr>
      <w:r>
        <w:rPr>
          <w:rFonts w:hint="eastAsia"/>
        </w:rPr>
        <w:t>顶反射层石墨砖之间及与侧碳砖层碳砖的缝隙为1.6±0.200mm；</w:t>
      </w:r>
    </w:p>
    <w:p w14:paraId="3770C070">
      <w:pPr>
        <w:pStyle w:val="107"/>
        <w:spacing w:before="156" w:after="156"/>
      </w:pPr>
      <w:bookmarkStart w:id="296" w:name="_Toc447638197"/>
      <w:bookmarkStart w:id="297" w:name="_Toc17473254"/>
      <w:bookmarkStart w:id="298" w:name="_Toc234677885"/>
      <w:bookmarkStart w:id="299" w:name="_Toc207715577"/>
      <w:bookmarkStart w:id="300" w:name="_Toc434311929"/>
      <w:bookmarkStart w:id="301" w:name="_Toc15225"/>
      <w:r>
        <w:rPr>
          <w:rFonts w:hint="eastAsia"/>
        </w:rPr>
        <w:t>顶绝热层安装</w:t>
      </w:r>
      <w:bookmarkEnd w:id="296"/>
      <w:bookmarkEnd w:id="297"/>
      <w:bookmarkEnd w:id="298"/>
      <w:bookmarkEnd w:id="299"/>
      <w:bookmarkEnd w:id="300"/>
      <w:bookmarkEnd w:id="301"/>
    </w:p>
    <w:p w14:paraId="7B9361EC">
      <w:pPr>
        <w:pStyle w:val="58"/>
        <w:ind w:firstLine="420"/>
      </w:pPr>
      <w:r>
        <w:rPr>
          <w:rFonts w:hint="eastAsia"/>
        </w:rPr>
        <w:t>顶绝热层安装的相关要求如下：</w:t>
      </w:r>
    </w:p>
    <w:p w14:paraId="6020A7BF">
      <w:pPr>
        <w:pStyle w:val="245"/>
        <w:numPr>
          <w:ilvl w:val="0"/>
          <w:numId w:val="43"/>
        </w:numPr>
      </w:pPr>
      <w:r>
        <w:rPr>
          <w:rFonts w:hint="eastAsia"/>
        </w:rPr>
        <w:t>安装顶绝热层碳砖之前，应检查顶绝热层碳砖内长方键孔的深度和石墨砖上方长方键的高度，保证装配后使长方键上端和碳砖孔顶部留有5mm间隙，长方键多余的部分需磨去；</w:t>
      </w:r>
    </w:p>
    <w:p w14:paraId="5FD044E5">
      <w:pPr>
        <w:pStyle w:val="245"/>
        <w:numPr>
          <w:ilvl w:val="0"/>
          <w:numId w:val="43"/>
        </w:numPr>
      </w:pPr>
      <w:r>
        <w:rPr>
          <w:rFonts w:hint="eastAsia"/>
        </w:rPr>
        <w:t>碳砖柱塞上表面低于碳砖的上表面，碳砖柱塞和碳砖之间缝隙的最小尺寸为0.5±0.150mm；</w:t>
      </w:r>
    </w:p>
    <w:p w14:paraId="53EFDE5B">
      <w:pPr>
        <w:pStyle w:val="245"/>
        <w:numPr>
          <w:ilvl w:val="0"/>
          <w:numId w:val="43"/>
        </w:numPr>
      </w:pPr>
      <w:r>
        <w:rPr>
          <w:rFonts w:hint="eastAsia"/>
        </w:rPr>
        <w:t>碳砖塞与石墨套筒之间应无挤压且间隙均匀，石墨部件应滑动自如；</w:t>
      </w:r>
    </w:p>
    <w:p w14:paraId="343228BE">
      <w:pPr>
        <w:pStyle w:val="245"/>
        <w:numPr>
          <w:ilvl w:val="0"/>
          <w:numId w:val="43"/>
        </w:numPr>
      </w:pPr>
      <w:r>
        <w:rPr>
          <w:rFonts w:hint="eastAsia"/>
        </w:rPr>
        <w:t>含有外边（R56.5）的4块顶碳砖，半圆槽位置错位不大于1.000mm；</w:t>
      </w:r>
    </w:p>
    <w:p w14:paraId="0351D925">
      <w:pPr>
        <w:pStyle w:val="245"/>
        <w:numPr>
          <w:ilvl w:val="0"/>
          <w:numId w:val="43"/>
        </w:numPr>
      </w:pPr>
      <w:r>
        <w:rPr>
          <w:rFonts w:hint="eastAsia"/>
        </w:rPr>
        <w:t>相邻定位键槽错位不得大于0.200mm；</w:t>
      </w:r>
    </w:p>
    <w:p w14:paraId="760404EE">
      <w:pPr>
        <w:pStyle w:val="245"/>
        <w:numPr>
          <w:ilvl w:val="0"/>
          <w:numId w:val="43"/>
        </w:numPr>
      </w:pPr>
      <w:r>
        <w:rPr>
          <w:rFonts w:hint="eastAsia"/>
        </w:rPr>
        <w:t>顶绝热层碳砖整体的外对边长度为5000±0.500mm，上表面高度16800±1.000mm，碳砖上表面平面度0.55，垂直度0.42。顶绝热层与侧绝热层之间缝隙为10±1.00mm；</w:t>
      </w:r>
    </w:p>
    <w:p w14:paraId="133E09EA">
      <w:pPr>
        <w:pStyle w:val="245"/>
        <w:numPr>
          <w:ilvl w:val="0"/>
          <w:numId w:val="43"/>
        </w:numPr>
      </w:pPr>
      <w:r>
        <w:rPr>
          <w:rFonts w:hint="eastAsia"/>
        </w:rPr>
        <w:t>进球管位置度为φ0.80mm，控制棒导向孔的位置度为φ0.80mm，吸收球孔道的位置度为φ0.80mm，中子源孔道的位置度为φ0.80mm；</w:t>
      </w:r>
    </w:p>
    <w:p w14:paraId="4E0F0C55">
      <w:pPr>
        <w:pStyle w:val="245"/>
        <w:numPr>
          <w:ilvl w:val="0"/>
          <w:numId w:val="43"/>
        </w:numPr>
      </w:pPr>
      <w:r>
        <w:rPr>
          <w:rFonts w:hint="eastAsia"/>
        </w:rPr>
        <w:t>碳砖之间缝隙值为1.6±0.200mm。</w:t>
      </w:r>
    </w:p>
    <w:p w14:paraId="3258E6CE">
      <w:pPr>
        <w:pStyle w:val="107"/>
        <w:spacing w:before="156" w:after="156"/>
      </w:pPr>
      <w:bookmarkStart w:id="302" w:name="_Toc207715578"/>
      <w:bookmarkStart w:id="303" w:name="_Toc17473255"/>
      <w:bookmarkStart w:id="304" w:name="_Toc234677886"/>
      <w:bookmarkStart w:id="305" w:name="_Toc447638198"/>
      <w:bookmarkStart w:id="306" w:name="_Toc19204"/>
      <w:bookmarkStart w:id="307" w:name="_Hlk208324954"/>
      <w:r>
        <w:rPr>
          <w:rFonts w:hint="eastAsia"/>
        </w:rPr>
        <w:t>含B4C石墨棒的安装</w:t>
      </w:r>
      <w:bookmarkEnd w:id="302"/>
      <w:bookmarkEnd w:id="303"/>
      <w:bookmarkEnd w:id="304"/>
      <w:bookmarkEnd w:id="305"/>
      <w:bookmarkEnd w:id="306"/>
      <w:bookmarkEnd w:id="307"/>
    </w:p>
    <w:p w14:paraId="179B4315">
      <w:pPr>
        <w:pStyle w:val="58"/>
        <w:ind w:firstLine="420"/>
      </w:pPr>
      <w:r>
        <w:rPr>
          <w:rFonts w:hint="eastAsia"/>
        </w:rPr>
        <w:t>含B4C石墨棒的安装应满足下列要求：</w:t>
      </w:r>
    </w:p>
    <w:p w14:paraId="3A6932BA">
      <w:pPr>
        <w:pStyle w:val="245"/>
        <w:numPr>
          <w:ilvl w:val="0"/>
          <w:numId w:val="44"/>
        </w:numPr>
      </w:pPr>
      <w:r>
        <w:rPr>
          <w:rFonts w:hint="eastAsia"/>
        </w:rPr>
        <w:t>石墨和碳堆芯支承结构的安装已经到了安装含有B4C石墨棒的阶段；</w:t>
      </w:r>
    </w:p>
    <w:p w14:paraId="70CBE8F4">
      <w:pPr>
        <w:pStyle w:val="245"/>
        <w:numPr>
          <w:ilvl w:val="0"/>
          <w:numId w:val="44"/>
        </w:numPr>
      </w:pPr>
      <w:r>
        <w:rPr>
          <w:rFonts w:hint="eastAsia"/>
        </w:rPr>
        <w:t>含B4C石墨棒的安装应在安装准备区进行，禁止在安装区安装B4C石墨棒；</w:t>
      </w:r>
    </w:p>
    <w:p w14:paraId="59B4BB3F">
      <w:pPr>
        <w:pStyle w:val="245"/>
        <w:numPr>
          <w:ilvl w:val="0"/>
          <w:numId w:val="44"/>
        </w:numPr>
      </w:pPr>
      <w:r>
        <w:rPr>
          <w:rFonts w:hint="eastAsia"/>
        </w:rPr>
        <w:t>装入的含B4C石墨棒应完全符合质量标准，损坏和缺陷超标的不得进行安装；</w:t>
      </w:r>
    </w:p>
    <w:p w14:paraId="05803B3A">
      <w:pPr>
        <w:pStyle w:val="245"/>
        <w:numPr>
          <w:ilvl w:val="0"/>
          <w:numId w:val="44"/>
        </w:numPr>
      </w:pPr>
      <w:r>
        <w:rPr>
          <w:rFonts w:hint="eastAsia"/>
        </w:rPr>
        <w:t>含B4C石墨棒装入砖孔前应符合清洁度要求，装填后应进行整体清洁操作，已装填的砖块在存放时应防护以保证清洁度；</w:t>
      </w:r>
    </w:p>
    <w:p w14:paraId="236CE3A8">
      <w:pPr>
        <w:pStyle w:val="245"/>
        <w:numPr>
          <w:ilvl w:val="0"/>
          <w:numId w:val="44"/>
        </w:numPr>
      </w:pPr>
      <w:r>
        <w:rPr>
          <w:rFonts w:hint="eastAsia"/>
        </w:rPr>
        <w:t>在运输、安装含有B4C石墨棒的石墨砖过程中应有充分的防护措施，防止含B4C石墨棒从砖内掉出，禁止含B4C石墨棒掉入堆内；</w:t>
      </w:r>
    </w:p>
    <w:p w14:paraId="236677BA">
      <w:pPr>
        <w:pStyle w:val="245"/>
        <w:numPr>
          <w:ilvl w:val="0"/>
          <w:numId w:val="44"/>
        </w:numPr>
      </w:pPr>
      <w:r>
        <w:rPr>
          <w:rFonts w:hint="eastAsia"/>
        </w:rPr>
        <w:t>依据石墨砖的孔深选择合适尺寸的含B4C石墨棒。标准厚度的石墨砖应根据技术要求装填对应标准尺寸的棒，不规则孔深的石墨砖根据实际孔深截取适当长度的棒，单段含B4C石墨棒长度不宜过短，不得将截过的棒装入标准厚度的石墨砖内；</w:t>
      </w:r>
    </w:p>
    <w:p w14:paraId="2D0BF04A">
      <w:pPr>
        <w:pStyle w:val="245"/>
        <w:numPr>
          <w:ilvl w:val="0"/>
          <w:numId w:val="44"/>
        </w:numPr>
      </w:pPr>
      <w:r>
        <w:rPr>
          <w:rFonts w:hint="eastAsia"/>
        </w:rPr>
        <w:t>含B4C石墨棒装入后，需测量棒和石墨砖的上表面之间的距离，需有6mm-8mm的空位，顶端螺纹孔不应影响含B4C石墨棒顶端空间的测量；</w:t>
      </w:r>
    </w:p>
    <w:p w14:paraId="3E0E18EE">
      <w:pPr>
        <w:pStyle w:val="245"/>
        <w:numPr>
          <w:ilvl w:val="0"/>
          <w:numId w:val="44"/>
        </w:numPr>
      </w:pPr>
      <w:r>
        <w:rPr>
          <w:rFonts w:hint="eastAsia"/>
        </w:rPr>
        <w:t>石墨砖孔底部应有20mm的石墨层，禁止存在穿透或半穿透的底孔；</w:t>
      </w:r>
    </w:p>
    <w:p w14:paraId="3DDF3854">
      <w:pPr>
        <w:pStyle w:val="245"/>
        <w:numPr>
          <w:ilvl w:val="0"/>
          <w:numId w:val="44"/>
        </w:numPr>
      </w:pPr>
      <w:r>
        <w:rPr>
          <w:rFonts w:hint="eastAsia"/>
        </w:rPr>
        <w:t>含B4C石墨棒在装入时不得用力推进，在尺寸不合适时应能倒出修理；</w:t>
      </w:r>
    </w:p>
    <w:p w14:paraId="3780CE80">
      <w:pPr>
        <w:pStyle w:val="245"/>
        <w:numPr>
          <w:ilvl w:val="0"/>
          <w:numId w:val="44"/>
        </w:numPr>
      </w:pPr>
      <w:r>
        <w:rPr>
          <w:rFonts w:hint="eastAsia"/>
        </w:rPr>
        <w:t>含B4C石墨棒再经截断以后的端面表面质量应与原棒一致；</w:t>
      </w:r>
    </w:p>
    <w:p w14:paraId="637ED220">
      <w:pPr>
        <w:pStyle w:val="245"/>
        <w:numPr>
          <w:ilvl w:val="0"/>
          <w:numId w:val="44"/>
        </w:numPr>
      </w:pPr>
      <w:r>
        <w:rPr>
          <w:rFonts w:hint="eastAsia"/>
        </w:rPr>
        <w:t>被热电偶沟槽穿过的含B4C石墨棒孔的顶部在装棒时不得碰坏孔壁；</w:t>
      </w:r>
    </w:p>
    <w:p w14:paraId="134FF65C">
      <w:pPr>
        <w:pStyle w:val="245"/>
        <w:numPr>
          <w:ilvl w:val="0"/>
          <w:numId w:val="44"/>
        </w:numPr>
      </w:pPr>
      <w:r>
        <w:rPr>
          <w:rFonts w:hint="eastAsia"/>
        </w:rPr>
        <w:t>不应因为安装含B4C石墨棒而损坏石墨砖，个别孔径不足不能装棒的砖孔可放弃装棒，开裂的石墨砖应更换。</w:t>
      </w:r>
    </w:p>
    <w:p w14:paraId="7DAAEE00">
      <w:pPr>
        <w:pStyle w:val="106"/>
        <w:spacing w:before="312" w:after="312"/>
      </w:pPr>
      <w:bookmarkStart w:id="308" w:name="_Toc17473256"/>
      <w:bookmarkStart w:id="309" w:name="_Toc447638200"/>
      <w:bookmarkStart w:id="310" w:name="_Toc207715579"/>
      <w:bookmarkStart w:id="311" w:name="_Toc14704"/>
      <w:bookmarkStart w:id="312" w:name="_Toc234677887"/>
      <w:r>
        <w:rPr>
          <w:rFonts w:hint="eastAsia"/>
        </w:rPr>
        <w:t>石墨和碳堆芯支承结构的试验</w:t>
      </w:r>
      <w:bookmarkEnd w:id="308"/>
      <w:bookmarkEnd w:id="309"/>
      <w:bookmarkEnd w:id="310"/>
      <w:bookmarkEnd w:id="311"/>
      <w:bookmarkEnd w:id="312"/>
    </w:p>
    <w:p w14:paraId="21797A40">
      <w:pPr>
        <w:pStyle w:val="58"/>
        <w:ind w:firstLine="420"/>
      </w:pPr>
      <w:r>
        <w:rPr>
          <w:rFonts w:hint="eastAsia"/>
        </w:rPr>
        <w:t>石墨和碳堆芯支承结构安装后的相关试验要求如下：</w:t>
      </w:r>
    </w:p>
    <w:p w14:paraId="4C53B3A7">
      <w:pPr>
        <w:pStyle w:val="245"/>
        <w:numPr>
          <w:ilvl w:val="0"/>
          <w:numId w:val="45"/>
        </w:numPr>
      </w:pPr>
      <w:r>
        <w:rPr>
          <w:rFonts w:hint="eastAsia"/>
        </w:rPr>
        <w:t xml:space="preserve">石墨和碳堆芯支承结构安装完毕后首先应使用工业内窥镜系统经进球孔道检查石墨腔体。腔体内壁表面应保持光滑、无凸起；轴向和环向缝隙应均匀；上反射层石墨砖的下表面无明显下凹现象；   </w:t>
      </w:r>
    </w:p>
    <w:p w14:paraId="421FF5AB">
      <w:pPr>
        <w:pStyle w:val="245"/>
        <w:numPr>
          <w:ilvl w:val="0"/>
          <w:numId w:val="45"/>
        </w:numPr>
      </w:pPr>
      <w:r>
        <w:rPr>
          <w:rFonts w:hint="eastAsia"/>
        </w:rPr>
        <w:t>石墨和碳堆芯支承结构的上表面应完全与金属堆芯支承结构相适应，如存在配合问题，应对石墨和碳堆芯支承结构予以修改；</w:t>
      </w:r>
    </w:p>
    <w:p w14:paraId="5F207F74">
      <w:pPr>
        <w:pStyle w:val="245"/>
        <w:numPr>
          <w:ilvl w:val="0"/>
          <w:numId w:val="45"/>
        </w:numPr>
      </w:pPr>
      <w:r>
        <w:rPr>
          <w:rFonts w:hint="eastAsia"/>
        </w:rPr>
        <w:t>石墨和堆芯支承结构上方安装金属堆芯支承结构之后，应进行孔道的功能性试验，这些孔道包括：</w:t>
      </w:r>
      <w:bookmarkStart w:id="313" w:name="_Hlk208325128"/>
      <w:r>
        <w:rPr>
          <w:rFonts w:hint="eastAsia"/>
        </w:rPr>
        <w:t>燃料球进球管和卸球管、控制棒孔道、吸收球孔道、中子源孔道</w:t>
      </w:r>
      <w:bookmarkEnd w:id="313"/>
      <w:r>
        <w:rPr>
          <w:rFonts w:hint="eastAsia"/>
        </w:rPr>
        <w:t>；</w:t>
      </w:r>
    </w:p>
    <w:p w14:paraId="7CC67947">
      <w:pPr>
        <w:pStyle w:val="245"/>
        <w:numPr>
          <w:ilvl w:val="0"/>
          <w:numId w:val="45"/>
        </w:numPr>
      </w:pPr>
      <w:r>
        <w:rPr>
          <w:rFonts w:hint="eastAsia"/>
        </w:rPr>
        <w:t>孔道功能试验应采用相关设备的原件或原件的模拟件进行，其尺寸、速率均应满足实际工况；</w:t>
      </w:r>
    </w:p>
    <w:p w14:paraId="65278776">
      <w:pPr>
        <w:pStyle w:val="245"/>
        <w:numPr>
          <w:ilvl w:val="0"/>
          <w:numId w:val="45"/>
        </w:numPr>
      </w:pPr>
      <w:r>
        <w:rPr>
          <w:rFonts w:hint="eastAsia"/>
        </w:rPr>
        <w:t>试验中孔道应满足使试验设备的运行应完全畅通无阻，如存在孔道不通或运动缓慢，则应对石墨和碳堆芯支承结构的安装进行检修，直至试验合格。</w:t>
      </w:r>
    </w:p>
    <w:p w14:paraId="38849EA6">
      <w:pPr>
        <w:pStyle w:val="106"/>
        <w:spacing w:before="312" w:after="312"/>
      </w:pPr>
      <w:bookmarkStart w:id="314" w:name="_Toc12852"/>
      <w:bookmarkStart w:id="315" w:name="_Toc207715580"/>
      <w:bookmarkStart w:id="316" w:name="_Toc234677888"/>
      <w:r>
        <w:rPr>
          <w:rFonts w:hint="eastAsia"/>
        </w:rPr>
        <w:t>整体预组装阶段中部金属堆芯支承结构安装</w:t>
      </w:r>
      <w:bookmarkEnd w:id="259"/>
      <w:bookmarkEnd w:id="260"/>
      <w:bookmarkEnd w:id="314"/>
      <w:bookmarkEnd w:id="315"/>
      <w:bookmarkEnd w:id="316"/>
    </w:p>
    <w:p w14:paraId="52C7058B">
      <w:pPr>
        <w:pStyle w:val="107"/>
        <w:spacing w:before="156" w:after="156"/>
      </w:pPr>
      <w:bookmarkStart w:id="317" w:name="_Toc27198"/>
      <w:bookmarkStart w:id="318" w:name="_Toc17361652"/>
      <w:bookmarkStart w:id="319" w:name="_Toc234677889"/>
      <w:bookmarkStart w:id="320" w:name="_Toc207715581"/>
      <w:bookmarkStart w:id="321" w:name="_Toc444086069"/>
      <w:r>
        <w:rPr>
          <w:rFonts w:hint="eastAsia"/>
        </w:rPr>
        <w:t>安装前准备</w:t>
      </w:r>
      <w:bookmarkEnd w:id="317"/>
      <w:bookmarkEnd w:id="318"/>
      <w:bookmarkEnd w:id="319"/>
      <w:bookmarkEnd w:id="320"/>
      <w:bookmarkEnd w:id="321"/>
    </w:p>
    <w:p w14:paraId="382C8B06">
      <w:pPr>
        <w:pStyle w:val="58"/>
        <w:ind w:firstLine="420"/>
      </w:pPr>
      <w:r>
        <w:rPr>
          <w:rFonts w:hint="eastAsia"/>
        </w:rPr>
        <w:t>整体预组装阶段中部金属堆芯支承结构安装前应作如下准备：</w:t>
      </w:r>
    </w:p>
    <w:p w14:paraId="1FDE43BE">
      <w:pPr>
        <w:pStyle w:val="245"/>
        <w:numPr>
          <w:ilvl w:val="0"/>
          <w:numId w:val="46"/>
        </w:numPr>
      </w:pPr>
      <w:bookmarkStart w:id="322" w:name="_Hlk208325227"/>
      <w:r>
        <w:rPr>
          <w:rFonts w:hint="eastAsia"/>
        </w:rPr>
        <w:t>下支承板阻流环组件、下支承板榫、氦气孔道管接头、冷氦气孔道金属接管组件、吸收球载球管组件、其他专业的物项如热电偶组件等应在陶瓷堆芯支承结构安装之前安装；</w:t>
      </w:r>
    </w:p>
    <w:bookmarkEnd w:id="322"/>
    <w:p w14:paraId="2CD98C58">
      <w:pPr>
        <w:pStyle w:val="245"/>
        <w:numPr>
          <w:ilvl w:val="0"/>
          <w:numId w:val="46"/>
        </w:numPr>
      </w:pPr>
      <w:r>
        <w:rPr>
          <w:rFonts w:hint="eastAsia"/>
        </w:rPr>
        <w:t>冷氦气孔道金属接管的安装应保证冷氦气孔道金属连接管畅通，氦气可在冷氦气金属连接管中顺畅平稳流动，无任何异物阻碍氦气流，冷氦气孔道金属连接管安装在堆芯壳内壁之后，接管乘插部分可小范围（20mm）内沿接管轴线方向相互滑动，无明显阻碍；</w:t>
      </w:r>
    </w:p>
    <w:p w14:paraId="30E9C7EA">
      <w:pPr>
        <w:pStyle w:val="245"/>
        <w:numPr>
          <w:ilvl w:val="0"/>
          <w:numId w:val="46"/>
        </w:numPr>
      </w:pPr>
      <w:r>
        <w:rPr>
          <w:rFonts w:hint="eastAsia"/>
        </w:rPr>
        <w:t>安装时应注意对已经安装好的吸收球载球管进行必要的防护，以防石墨、碳砖和其他金属堆芯支承结构对其磕碰造成损伤、变形；吸收球载球管组件安装后，要能确保吸收球顺利流动，无流道不畅、卡住、搭桥等情况出现。</w:t>
      </w:r>
    </w:p>
    <w:p w14:paraId="13A71B7A">
      <w:pPr>
        <w:pStyle w:val="107"/>
        <w:spacing w:before="156" w:after="156"/>
      </w:pPr>
      <w:bookmarkStart w:id="323" w:name="_Toc234677890"/>
      <w:bookmarkStart w:id="324" w:name="_Toc207715582"/>
      <w:bookmarkStart w:id="325" w:name="_Toc444086070"/>
      <w:bookmarkStart w:id="326" w:name="_Toc17361653"/>
      <w:bookmarkStart w:id="327" w:name="_Toc20432"/>
      <w:r>
        <w:rPr>
          <w:rFonts w:hint="eastAsia"/>
        </w:rPr>
        <w:t>与石墨和碳砖相配装的金属堆芯支承结构</w:t>
      </w:r>
      <w:bookmarkEnd w:id="323"/>
      <w:bookmarkEnd w:id="324"/>
      <w:bookmarkEnd w:id="325"/>
      <w:bookmarkEnd w:id="326"/>
      <w:bookmarkEnd w:id="327"/>
    </w:p>
    <w:p w14:paraId="0CD5C508">
      <w:pPr>
        <w:pStyle w:val="58"/>
        <w:ind w:firstLine="420"/>
      </w:pPr>
      <w:r>
        <w:rPr>
          <w:rFonts w:hint="eastAsia"/>
        </w:rPr>
        <w:t>与石墨和碳砖相配装的金属堆芯支承结构的相关安装要求如下：</w:t>
      </w:r>
    </w:p>
    <w:p w14:paraId="7FF46FBC">
      <w:pPr>
        <w:pStyle w:val="245"/>
        <w:numPr>
          <w:ilvl w:val="0"/>
          <w:numId w:val="47"/>
        </w:numPr>
      </w:pPr>
      <w:r>
        <w:rPr>
          <w:rFonts w:hint="eastAsia"/>
        </w:rPr>
        <w:t>与石墨和碳砖相配装的金属堆芯支承结构与石墨和碳砖应交叉进行施工；</w:t>
      </w:r>
    </w:p>
    <w:p w14:paraId="5F6F8977">
      <w:pPr>
        <w:pStyle w:val="245"/>
        <w:numPr>
          <w:ilvl w:val="0"/>
          <w:numId w:val="48"/>
        </w:numPr>
      </w:pPr>
      <w:r>
        <w:rPr>
          <w:rFonts w:hint="eastAsia"/>
        </w:rPr>
        <w:t>限位工字钢端面和碳砖外表面之间间隙的径向尺寸和公差为2.0mm±0.5mm；</w:t>
      </w:r>
    </w:p>
    <w:p w14:paraId="54F971F8">
      <w:pPr>
        <w:pStyle w:val="245"/>
        <w:numPr>
          <w:ilvl w:val="0"/>
          <w:numId w:val="48"/>
        </w:numPr>
      </w:pPr>
      <w:r>
        <w:rPr>
          <w:rFonts w:hint="eastAsia"/>
        </w:rPr>
        <w:t>5排防旋键和碳砖键槽之间双边累计缝隙应0.40mm±0.05mm，且双边均匀分布；</w:t>
      </w:r>
    </w:p>
    <w:p w14:paraId="00962BD6">
      <w:pPr>
        <w:pStyle w:val="245"/>
        <w:numPr>
          <w:ilvl w:val="0"/>
          <w:numId w:val="48"/>
        </w:numPr>
      </w:pPr>
      <w:r>
        <w:rPr>
          <w:rFonts w:hint="eastAsia"/>
        </w:rPr>
        <w:t>30条箍紧带限位圆柱应完全卡入侧碳砖凹槽内。安装过程不得使用强力使箍紧带变形；</w:t>
      </w:r>
    </w:p>
    <w:p w14:paraId="1C1C6412">
      <w:pPr>
        <w:pStyle w:val="245"/>
        <w:numPr>
          <w:ilvl w:val="0"/>
          <w:numId w:val="48"/>
        </w:numPr>
      </w:pPr>
      <w:r>
        <w:rPr>
          <w:rFonts w:hint="eastAsia"/>
        </w:rPr>
        <w:t>箍紧带在石墨砖和碳砖预组装时应已进行了标记；</w:t>
      </w:r>
    </w:p>
    <w:p w14:paraId="0837CA47">
      <w:pPr>
        <w:pStyle w:val="245"/>
        <w:numPr>
          <w:ilvl w:val="0"/>
          <w:numId w:val="48"/>
        </w:numPr>
      </w:pPr>
      <w:r>
        <w:rPr>
          <w:rFonts w:hint="eastAsia"/>
        </w:rPr>
        <w:t>8根材料辐照管部分组件安装时,应注意对已经安装好的材料辐照管进行必要的防护，以防石墨、碳砖和其他金属堆内构建对其磕碰造成损伤、变形。材料辐照管畅通，用辐照监督管在其中上下往复移动，移动过程无卡涩、运动不畅等情况</w:t>
      </w:r>
      <w:bookmarkStart w:id="328" w:name="_Toc444086071"/>
      <w:r>
        <w:rPr>
          <w:rFonts w:hint="eastAsia"/>
        </w:rPr>
        <w:t>；</w:t>
      </w:r>
    </w:p>
    <w:p w14:paraId="5F57CC90">
      <w:pPr>
        <w:pStyle w:val="245"/>
        <w:numPr>
          <w:ilvl w:val="0"/>
          <w:numId w:val="48"/>
        </w:numPr>
      </w:pPr>
      <w:r>
        <w:rPr>
          <w:rFonts w:hint="eastAsia"/>
        </w:rPr>
        <w:t>6根吸收球提升管焊接完成，件安装时,应注意对已经安装好的提升管进行必要的防护，以防石墨、碳砖和其他金属堆内构建对其磕碰造成损伤、变形。提升管畅通，用模拟求在其中上下往复移动，移动过程无卡涩、运动不畅等情况。</w:t>
      </w:r>
    </w:p>
    <w:p w14:paraId="464F8C70">
      <w:pPr>
        <w:pStyle w:val="106"/>
        <w:spacing w:before="312" w:after="312"/>
      </w:pPr>
      <w:bookmarkStart w:id="329" w:name="_Toc207715583"/>
      <w:bookmarkStart w:id="330" w:name="_Toc234677891"/>
      <w:bookmarkStart w:id="331" w:name="_Toc22522"/>
      <w:bookmarkStart w:id="332" w:name="_Toc17361654"/>
      <w:r>
        <w:rPr>
          <w:rFonts w:hint="eastAsia"/>
        </w:rPr>
        <w:t>陶瓷堆芯支承结构安装完成后金属堆芯支承结构安装</w:t>
      </w:r>
      <w:bookmarkEnd w:id="328"/>
      <w:bookmarkEnd w:id="329"/>
      <w:bookmarkEnd w:id="330"/>
      <w:bookmarkEnd w:id="331"/>
      <w:bookmarkEnd w:id="332"/>
      <w:bookmarkStart w:id="333" w:name="_Toc444086072"/>
    </w:p>
    <w:p w14:paraId="74CB77DB">
      <w:pPr>
        <w:pStyle w:val="107"/>
        <w:spacing w:before="156" w:after="156"/>
      </w:pPr>
      <w:bookmarkStart w:id="334" w:name="_Toc17361655"/>
      <w:bookmarkStart w:id="335" w:name="_Toc12042"/>
      <w:bookmarkStart w:id="336" w:name="_Toc234677892"/>
      <w:bookmarkStart w:id="337" w:name="_Toc207715584"/>
      <w:r>
        <w:rPr>
          <w:rFonts w:hint="eastAsia"/>
        </w:rPr>
        <w:t>定位板安装</w:t>
      </w:r>
      <w:bookmarkEnd w:id="333"/>
      <w:bookmarkEnd w:id="334"/>
      <w:bookmarkEnd w:id="335"/>
      <w:bookmarkEnd w:id="336"/>
      <w:bookmarkEnd w:id="337"/>
    </w:p>
    <w:p w14:paraId="3CC1FE3A">
      <w:pPr>
        <w:pStyle w:val="58"/>
        <w:ind w:firstLine="420"/>
      </w:pPr>
      <w:r>
        <w:rPr>
          <w:rFonts w:hint="eastAsia"/>
        </w:rPr>
        <w:t>定位板安装后要求参数如下：</w:t>
      </w:r>
    </w:p>
    <w:p w14:paraId="7942BFAC">
      <w:pPr>
        <w:pStyle w:val="245"/>
        <w:numPr>
          <w:ilvl w:val="0"/>
          <w:numId w:val="49"/>
        </w:numPr>
      </w:pPr>
      <w:r>
        <w:rPr>
          <w:rFonts w:hint="eastAsia"/>
        </w:rPr>
        <w:t>定位板和堆芯壳上法兰对应角度精度±10”，转换为线性尺寸公差为定位板0°、90°、180°、270°线和堆芯壳上法兰段0°、90°、180°、270°的线性尺寸公差为±0.13mm；</w:t>
      </w:r>
    </w:p>
    <w:p w14:paraId="10C02A11">
      <w:pPr>
        <w:pStyle w:val="245"/>
        <w:numPr>
          <w:ilvl w:val="0"/>
          <w:numId w:val="49"/>
        </w:numPr>
      </w:pPr>
      <w:r>
        <w:rPr>
          <w:rFonts w:hint="eastAsia"/>
        </w:rPr>
        <w:t>定位板圆周四处导向键和键槽之间加调整垫片，导向键两侧缝隙之和在0.15-0.20mm之间；</w:t>
      </w:r>
    </w:p>
    <w:p w14:paraId="371A75F7">
      <w:pPr>
        <w:pStyle w:val="245"/>
        <w:numPr>
          <w:ilvl w:val="0"/>
          <w:numId w:val="49"/>
        </w:numPr>
      </w:pPr>
      <w:r>
        <w:rPr>
          <w:rFonts w:hint="eastAsia"/>
        </w:rPr>
        <w:t>定位板上表面相对堆芯壳上表面的平行度为0.25mm；</w:t>
      </w:r>
    </w:p>
    <w:p w14:paraId="0D2C4985">
      <w:pPr>
        <w:pStyle w:val="245"/>
        <w:numPr>
          <w:ilvl w:val="0"/>
          <w:numId w:val="49"/>
        </w:numPr>
      </w:pPr>
      <w:r>
        <w:rPr>
          <w:rFonts w:hint="eastAsia"/>
        </w:rPr>
        <w:t>定位板外缘底面和顶碳砖高度方向名义尺寸为70mm；</w:t>
      </w:r>
    </w:p>
    <w:p w14:paraId="770D1D0C">
      <w:pPr>
        <w:pStyle w:val="245"/>
        <w:numPr>
          <w:ilvl w:val="0"/>
          <w:numId w:val="49"/>
        </w:numPr>
      </w:pPr>
      <w:r>
        <w:rPr>
          <w:rFonts w:hint="eastAsia"/>
        </w:rPr>
        <w:t>实测吸收球、控制棒、中子源安装面的位置度；</w:t>
      </w:r>
    </w:p>
    <w:p w14:paraId="4D205C3B">
      <w:pPr>
        <w:pStyle w:val="245"/>
        <w:numPr>
          <w:ilvl w:val="0"/>
          <w:numId w:val="49"/>
        </w:numPr>
      </w:pPr>
      <w:r>
        <w:rPr>
          <w:rFonts w:hint="eastAsia"/>
        </w:rPr>
        <w:t>在定位板上安装榫时，首先放入榫（1）用测量座定位块，然后应用千分表测量并加工偏心环到实际尺寸公差（0，+0.030），取出测量座定位块和测量系统，装入榫（1）和榫（2），拧紧螺母，最后进行可靠的机械防松。</w:t>
      </w:r>
    </w:p>
    <w:p w14:paraId="6D7F1B79">
      <w:pPr>
        <w:pStyle w:val="107"/>
        <w:spacing w:before="156" w:after="156"/>
      </w:pPr>
      <w:bookmarkStart w:id="338" w:name="_Toc444086073"/>
      <w:bookmarkStart w:id="339" w:name="_Toc207715585"/>
      <w:bookmarkStart w:id="340" w:name="_Toc17361656"/>
      <w:bookmarkStart w:id="341" w:name="_Toc19618"/>
      <w:bookmarkStart w:id="342" w:name="_Toc234677893"/>
      <w:r>
        <w:rPr>
          <w:rFonts w:hint="eastAsia"/>
        </w:rPr>
        <w:t>压板安装</w:t>
      </w:r>
      <w:bookmarkEnd w:id="338"/>
      <w:bookmarkEnd w:id="339"/>
      <w:bookmarkEnd w:id="340"/>
      <w:bookmarkEnd w:id="341"/>
      <w:bookmarkEnd w:id="342"/>
    </w:p>
    <w:p w14:paraId="404DDB35">
      <w:pPr>
        <w:pStyle w:val="58"/>
        <w:ind w:firstLine="420"/>
      </w:pPr>
      <w:r>
        <w:rPr>
          <w:rFonts w:hint="eastAsia"/>
        </w:rPr>
        <w:t>压板安装后要求参数如下：</w:t>
      </w:r>
    </w:p>
    <w:p w14:paraId="05DF499D">
      <w:pPr>
        <w:pStyle w:val="245"/>
        <w:numPr>
          <w:ilvl w:val="0"/>
          <w:numId w:val="50"/>
        </w:numPr>
      </w:pPr>
      <w:r>
        <w:rPr>
          <w:rFonts w:hint="eastAsia"/>
        </w:rPr>
        <w:t>10层压板安装后，应保证能沿导向键自由滑动，不受阻碍；</w:t>
      </w:r>
    </w:p>
    <w:p w14:paraId="6217B8D7">
      <w:pPr>
        <w:pStyle w:val="245"/>
        <w:numPr>
          <w:ilvl w:val="0"/>
          <w:numId w:val="48"/>
        </w:numPr>
      </w:pPr>
      <w:r>
        <w:rPr>
          <w:rFonts w:hint="eastAsia"/>
        </w:rPr>
        <w:t>每层压板确认安装就位后，对于上支座拧入压板的M42螺纹连接，可从压板上表面螺纹孔处进行冲压至局部塑性变形防松。</w:t>
      </w:r>
    </w:p>
    <w:p w14:paraId="431B01C6">
      <w:pPr>
        <w:pStyle w:val="107"/>
        <w:spacing w:before="156" w:after="156"/>
      </w:pPr>
      <w:bookmarkStart w:id="343" w:name="_Toc444086074"/>
      <w:bookmarkStart w:id="344" w:name="_Toc234677894"/>
      <w:bookmarkStart w:id="345" w:name="_Toc30517"/>
      <w:bookmarkStart w:id="346" w:name="_Toc207715586"/>
      <w:bookmarkStart w:id="347" w:name="_Toc17361657"/>
      <w:r>
        <w:rPr>
          <w:rFonts w:hint="eastAsia"/>
        </w:rPr>
        <w:t>压板阻流环安装要求</w:t>
      </w:r>
      <w:bookmarkEnd w:id="343"/>
      <w:bookmarkEnd w:id="344"/>
      <w:bookmarkEnd w:id="345"/>
      <w:bookmarkEnd w:id="346"/>
      <w:bookmarkEnd w:id="347"/>
    </w:p>
    <w:p w14:paraId="7E1FD175">
      <w:pPr>
        <w:pStyle w:val="245"/>
        <w:numPr>
          <w:ilvl w:val="255"/>
          <w:numId w:val="0"/>
        </w:numPr>
        <w:ind w:left="420"/>
      </w:pPr>
      <w:r>
        <w:rPr>
          <w:rFonts w:hint="eastAsia"/>
        </w:rPr>
        <w:t>粗盘根压缩至满足内填料函盖安装即可；可对内填料函压片修磨或不安装内填料函压片。</w:t>
      </w:r>
    </w:p>
    <w:p w14:paraId="25B36F1D">
      <w:pPr>
        <w:pStyle w:val="107"/>
        <w:spacing w:before="156" w:after="156"/>
      </w:pPr>
      <w:bookmarkStart w:id="348" w:name="_Toc27228"/>
      <w:bookmarkStart w:id="349" w:name="_Toc207715587"/>
      <w:bookmarkStart w:id="350" w:name="_Toc234677895"/>
      <w:r>
        <w:rPr>
          <w:rFonts w:hint="eastAsia"/>
        </w:rPr>
        <w:t>整体预组装完成后的</w:t>
      </w:r>
      <w:bookmarkStart w:id="351" w:name="_Toc17361661"/>
      <w:bookmarkStart w:id="352" w:name="_Toc444086079"/>
      <w:r>
        <w:rPr>
          <w:rFonts w:hint="eastAsia"/>
        </w:rPr>
        <w:t>孔道通过性试验</w:t>
      </w:r>
      <w:bookmarkEnd w:id="351"/>
      <w:bookmarkEnd w:id="352"/>
      <w:r>
        <w:rPr>
          <w:rFonts w:hint="eastAsia"/>
        </w:rPr>
        <w:t>验收</w:t>
      </w:r>
      <w:bookmarkEnd w:id="348"/>
      <w:bookmarkEnd w:id="349"/>
      <w:bookmarkEnd w:id="350"/>
    </w:p>
    <w:p w14:paraId="6FBA7DE1">
      <w:pPr>
        <w:pStyle w:val="58"/>
        <w:ind w:firstLine="420"/>
      </w:pPr>
      <w:r>
        <w:rPr>
          <w:rFonts w:hint="eastAsia"/>
        </w:rPr>
        <w:t>堆芯支承结构整体预组装完成后再吊装前后均需对对应的孔道进行通过性试验验收，相关验收要求如下：</w:t>
      </w:r>
    </w:p>
    <w:p w14:paraId="607C127A">
      <w:pPr>
        <w:pStyle w:val="245"/>
        <w:numPr>
          <w:ilvl w:val="0"/>
          <w:numId w:val="51"/>
        </w:numPr>
      </w:pPr>
      <w:r>
        <w:rPr>
          <w:rFonts w:hint="eastAsia"/>
        </w:rPr>
        <w:t>燃料球出球管和出球连接管应畅通，φ500内径壁面光滑，管件对接处有R2倒圆角光滑过渡，燃料球在其中可以顺利向下运动；</w:t>
      </w:r>
    </w:p>
    <w:p w14:paraId="12DDC856">
      <w:pPr>
        <w:pStyle w:val="245"/>
        <w:numPr>
          <w:ilvl w:val="0"/>
          <w:numId w:val="51"/>
        </w:numPr>
      </w:pPr>
      <w:r>
        <w:rPr>
          <w:rFonts w:hint="eastAsia"/>
        </w:rPr>
        <w:t>控制棒（上、中、下）导向管应畅通，控制棒节棒模拟件在控制棒导向管移动过程中无卡住、运动不顺畅等情况，摩擦阻力试验中牵引力变化不大于50N；</w:t>
      </w:r>
    </w:p>
    <w:p w14:paraId="615B41F0">
      <w:pPr>
        <w:pStyle w:val="245"/>
        <w:numPr>
          <w:ilvl w:val="0"/>
          <w:numId w:val="51"/>
        </w:numPr>
      </w:pPr>
      <w:r>
        <w:rPr>
          <w:rFonts w:hint="eastAsia"/>
        </w:rPr>
        <w:t>吸收球载球管畅通，可用吸收球（或模拟球）进行通过性试验，试验应无吸收球卡球、搭桥和流动不畅等情况；</w:t>
      </w:r>
    </w:p>
    <w:p w14:paraId="04FD84F5">
      <w:pPr>
        <w:pStyle w:val="245"/>
        <w:numPr>
          <w:ilvl w:val="0"/>
          <w:numId w:val="51"/>
        </w:numPr>
      </w:pPr>
      <w:r>
        <w:rPr>
          <w:rFonts w:hint="eastAsia"/>
        </w:rPr>
        <w:t>中子源导向管畅通，中子源启动计数管模拟件在中子源导向管移动过程无卡住、运动不顺畅等情况；</w:t>
      </w:r>
    </w:p>
    <w:p w14:paraId="0CE26CA5">
      <w:pPr>
        <w:pStyle w:val="245"/>
        <w:numPr>
          <w:ilvl w:val="0"/>
          <w:numId w:val="51"/>
        </w:numPr>
      </w:pPr>
      <w:r>
        <w:rPr>
          <w:rFonts w:hint="eastAsia"/>
        </w:rPr>
        <w:t>材料辐照管畅通，辐照监督管移动过程无卡涩、运动不顺畅等情况；</w:t>
      </w:r>
    </w:p>
    <w:p w14:paraId="656EADE9">
      <w:pPr>
        <w:pStyle w:val="245"/>
        <w:numPr>
          <w:ilvl w:val="0"/>
          <w:numId w:val="51"/>
        </w:numPr>
      </w:pPr>
      <w:r>
        <w:rPr>
          <w:rFonts w:hint="eastAsia"/>
        </w:rPr>
        <w:t>冷氦气孔道金属连接管畅通，氦气可在冷氦气孔道金属连接管中顺畅平稳流动，无任何异物阻碍氦气流动。冷氦气孔道金属连接管安装在堆芯壳内壁之后，接管承插部分可小范围（20mm）内沿接管轴线方向相互滑动，无明显阻碍；</w:t>
      </w:r>
    </w:p>
    <w:p w14:paraId="6212B7C8">
      <w:pPr>
        <w:pStyle w:val="245"/>
        <w:numPr>
          <w:ilvl w:val="0"/>
          <w:numId w:val="48"/>
        </w:numPr>
      </w:pPr>
      <w:r>
        <w:rPr>
          <w:rFonts w:hint="eastAsia"/>
        </w:rPr>
        <w:t>各种类型的孔道，如遇其通过性检查未达到要求，可采用工业内窥镜检查并排除；</w:t>
      </w:r>
    </w:p>
    <w:p w14:paraId="03216254">
      <w:pPr>
        <w:pStyle w:val="245"/>
        <w:numPr>
          <w:ilvl w:val="0"/>
          <w:numId w:val="48"/>
        </w:numPr>
      </w:pPr>
      <w:r>
        <w:rPr>
          <w:rFonts w:hint="eastAsia"/>
        </w:rPr>
        <w:t>孔道通过性实验应采用功能系统所使用设备原件或者用原件模拟件进行。其尺寸、重量、实验运行速率均应和原件实际情况保持一致，设备原件（石墨球或燃料球、控制棒、吸收球、中子源和中子源启动计数器、辐照监督管等）均由相应设备供货商提供；</w:t>
      </w:r>
    </w:p>
    <w:p w14:paraId="32C5EEDB">
      <w:pPr>
        <w:pStyle w:val="245"/>
        <w:numPr>
          <w:ilvl w:val="0"/>
          <w:numId w:val="48"/>
        </w:numPr>
      </w:pPr>
      <w:r>
        <w:rPr>
          <w:rFonts w:hint="eastAsia"/>
        </w:rPr>
        <w:t>对试验的评价：如上述孔道通过性实验完全畅通无阻，说明金属堆芯支承结构安装正确，可验收通过。凡孔道不通，或运动卡涩、缓慢，达不到设计的速度的要求可视为安装不合格，应对金属堆芯支承结构安装进行检修；</w:t>
      </w:r>
    </w:p>
    <w:p w14:paraId="6E692631">
      <w:pPr>
        <w:pStyle w:val="245"/>
        <w:numPr>
          <w:ilvl w:val="0"/>
          <w:numId w:val="48"/>
        </w:numPr>
      </w:pPr>
      <w:r>
        <w:rPr>
          <w:rFonts w:hint="eastAsia"/>
        </w:rPr>
        <w:t>在进行试验以前，应由供货方提出各功能部件试验速度的保证值。试验中部件的运行速度不得低于这个数值。</w:t>
      </w:r>
    </w:p>
    <w:p w14:paraId="52EB2674">
      <w:pPr>
        <w:pStyle w:val="106"/>
        <w:spacing w:before="312" w:after="312"/>
      </w:pPr>
      <w:bookmarkStart w:id="353" w:name="_Toc374"/>
      <w:bookmarkStart w:id="354" w:name="_Toc234677896"/>
      <w:bookmarkStart w:id="355" w:name="_Toc207715588"/>
      <w:r>
        <w:rPr>
          <w:rFonts w:hint="eastAsia"/>
        </w:rPr>
        <w:t>堆芯支承结构整体吊装</w:t>
      </w:r>
      <w:bookmarkEnd w:id="353"/>
      <w:bookmarkEnd w:id="354"/>
      <w:bookmarkEnd w:id="355"/>
    </w:p>
    <w:p w14:paraId="222F0556">
      <w:pPr>
        <w:pStyle w:val="58"/>
        <w:ind w:firstLine="420"/>
      </w:pPr>
      <w:r>
        <w:rPr>
          <w:rFonts w:hint="eastAsia"/>
        </w:rPr>
        <w:t>堆芯支承结构采用多点兜底吊装，吊装相关要求如下：</w:t>
      </w:r>
    </w:p>
    <w:p w14:paraId="00EC7BE1">
      <w:pPr>
        <w:pStyle w:val="245"/>
        <w:numPr>
          <w:ilvl w:val="0"/>
          <w:numId w:val="52"/>
        </w:numPr>
      </w:pPr>
      <w:r>
        <w:rPr>
          <w:rFonts w:hint="eastAsia"/>
        </w:rPr>
        <w:t>采用多点兜底吊装；</w:t>
      </w:r>
    </w:p>
    <w:p w14:paraId="0B590CBB">
      <w:pPr>
        <w:pStyle w:val="245"/>
        <w:numPr>
          <w:ilvl w:val="0"/>
          <w:numId w:val="52"/>
        </w:numPr>
      </w:pPr>
      <w:r>
        <w:rPr>
          <w:rFonts w:hint="eastAsia"/>
        </w:rPr>
        <w:t>试吊前对风速进行实时观测，风速不大于7.9m/s且在无雨、无雾、室外温度不低于5℃方可起吊作业；</w:t>
      </w:r>
    </w:p>
    <w:p w14:paraId="724A18EE">
      <w:pPr>
        <w:pStyle w:val="245"/>
        <w:numPr>
          <w:ilvl w:val="0"/>
          <w:numId w:val="52"/>
        </w:numPr>
      </w:pPr>
      <w:r>
        <w:rPr>
          <w:rFonts w:hint="eastAsia"/>
        </w:rPr>
        <w:t>起升约100mm时，停止起钩，然后下降50mm检查，确认吊机制动性能良好。保持堆芯支承结构整体距离支承约50mm，静止悬置5min，检查好吊机性能良好，索具连接情况正常，设备整体结构无异常；</w:t>
      </w:r>
    </w:p>
    <w:p w14:paraId="1FAB543E">
      <w:pPr>
        <w:pStyle w:val="245"/>
        <w:numPr>
          <w:ilvl w:val="0"/>
          <w:numId w:val="52"/>
        </w:numPr>
      </w:pPr>
      <w:r>
        <w:rPr>
          <w:rFonts w:hint="eastAsia"/>
        </w:rPr>
        <w:t>堆芯支承结构吊入压力容器时，起吊载荷的减少量不大于10吨，如起吊载荷的变化超出要求，应立即停止起吊操作，检查原因，消除阻力因素；</w:t>
      </w:r>
    </w:p>
    <w:p w14:paraId="0ACB8E71">
      <w:pPr>
        <w:pStyle w:val="245"/>
        <w:numPr>
          <w:ilvl w:val="0"/>
          <w:numId w:val="52"/>
        </w:numPr>
      </w:pPr>
      <w:r>
        <w:rPr>
          <w:rFonts w:hint="eastAsia"/>
        </w:rPr>
        <w:t>堆芯支承结构吊装前调整设备姿态，具体为堆芯壳筒体四个象限点铅垂偏离不大于10mm，上支承板上表面水平度不大于2.5mm；</w:t>
      </w:r>
    </w:p>
    <w:p w14:paraId="3E243634">
      <w:pPr>
        <w:pStyle w:val="245"/>
        <w:numPr>
          <w:ilvl w:val="0"/>
          <w:numId w:val="52"/>
        </w:numPr>
      </w:pPr>
      <w:r>
        <w:rPr>
          <w:rFonts w:hint="eastAsia"/>
        </w:rPr>
        <w:t>吊装速度不大于1.5m/min。</w:t>
      </w:r>
    </w:p>
    <w:p w14:paraId="0E4048BA">
      <w:pPr>
        <w:pStyle w:val="107"/>
        <w:spacing w:before="156" w:after="156"/>
      </w:pPr>
      <w:bookmarkStart w:id="356" w:name="_Toc207715589"/>
      <w:bookmarkStart w:id="357" w:name="_Toc20204"/>
      <w:bookmarkStart w:id="358" w:name="_Toc234677897"/>
      <w:r>
        <w:rPr>
          <w:rFonts w:hint="eastAsia"/>
        </w:rPr>
        <w:t>堆芯支承结构整体吊装后的通过性验收</w:t>
      </w:r>
      <w:bookmarkEnd w:id="356"/>
      <w:bookmarkEnd w:id="357"/>
      <w:bookmarkEnd w:id="358"/>
    </w:p>
    <w:p w14:paraId="5332C742">
      <w:pPr>
        <w:pStyle w:val="232"/>
      </w:pPr>
      <w:r>
        <w:rPr>
          <w:rFonts w:hint="eastAsia"/>
        </w:rPr>
        <w:t>整体通过性试验同9.4节。</w:t>
      </w:r>
    </w:p>
    <w:p w14:paraId="5E1317F3">
      <w:pPr>
        <w:pStyle w:val="107"/>
        <w:spacing w:before="156" w:after="156"/>
      </w:pPr>
      <w:bookmarkStart w:id="359" w:name="_Toc207715590"/>
      <w:bookmarkStart w:id="360" w:name="_Toc16618"/>
      <w:bookmarkStart w:id="361" w:name="_Toc234677898"/>
      <w:r>
        <w:rPr>
          <w:rFonts w:hint="eastAsia"/>
        </w:rPr>
        <w:t>堆芯支承结构精确调整</w:t>
      </w:r>
      <w:bookmarkEnd w:id="359"/>
      <w:bookmarkEnd w:id="360"/>
      <w:bookmarkEnd w:id="361"/>
    </w:p>
    <w:p w14:paraId="1D8AB17A">
      <w:pPr>
        <w:pStyle w:val="232"/>
      </w:pPr>
      <w:r>
        <w:rPr>
          <w:rFonts w:hint="eastAsia"/>
        </w:rPr>
        <w:t>对堆芯支承结构进行精确调整，下列指标应满足要求：</w:t>
      </w:r>
    </w:p>
    <w:p w14:paraId="6CC753E2">
      <w:pPr>
        <w:pStyle w:val="245"/>
        <w:numPr>
          <w:ilvl w:val="0"/>
          <w:numId w:val="53"/>
        </w:numPr>
      </w:pPr>
      <w:r>
        <w:rPr>
          <w:rFonts w:hint="eastAsia"/>
        </w:rPr>
        <w:t>支承座水平垫板上表面沿堆芯壳周向高度差不大于0.05mm；</w:t>
      </w:r>
    </w:p>
    <w:p w14:paraId="35E9F8A4">
      <w:pPr>
        <w:pStyle w:val="245"/>
        <w:numPr>
          <w:ilvl w:val="0"/>
          <w:numId w:val="53"/>
        </w:numPr>
      </w:pPr>
      <w:r>
        <w:rPr>
          <w:rFonts w:hint="eastAsia"/>
        </w:rPr>
        <w:t>堆芯壳复测合格后，堆芯壳上法兰外导向键两侧缝隙之和应在0.25mm-0.35mm之间；堆芯壳下加厚段外的四处限位凸台与压力容器对应的周向定位调整板，安装后的堆芯壳限位凸台与压力容器周向定位调整板之间的径向间隙为2±0.1mm；</w:t>
      </w:r>
    </w:p>
    <w:p w14:paraId="6BF48903">
      <w:pPr>
        <w:pStyle w:val="245"/>
        <w:numPr>
          <w:ilvl w:val="0"/>
          <w:numId w:val="54"/>
        </w:numPr>
      </w:pPr>
      <w:r>
        <w:rPr>
          <w:rFonts w:hint="eastAsia"/>
        </w:rPr>
        <w:t xml:space="preserve"> 堆芯壳上表面和压力容器轴线垂直度1.0mm；</w:t>
      </w:r>
    </w:p>
    <w:p w14:paraId="1F392556">
      <w:pPr>
        <w:pStyle w:val="245"/>
        <w:numPr>
          <w:ilvl w:val="0"/>
          <w:numId w:val="54"/>
        </w:numPr>
      </w:pPr>
      <w:r>
        <w:rPr>
          <w:rFonts w:hint="eastAsia"/>
        </w:rPr>
        <w:t>堆芯壳上法兰及上支承板上表面和压力容器筒体主法兰密封面的平行度为1.0mm;</w:t>
      </w:r>
    </w:p>
    <w:p w14:paraId="6E5A27C9">
      <w:pPr>
        <w:pStyle w:val="245"/>
        <w:numPr>
          <w:ilvl w:val="0"/>
          <w:numId w:val="54"/>
        </w:numPr>
      </w:pPr>
      <w:r>
        <w:rPr>
          <w:rFonts w:hint="eastAsia"/>
        </w:rPr>
        <w:t>堆芯壳上表面和压力容器筒体主法兰密封面轴向尺寸为371±1mm;</w:t>
      </w:r>
    </w:p>
    <w:p w14:paraId="13B5382B">
      <w:pPr>
        <w:pStyle w:val="245"/>
        <w:numPr>
          <w:ilvl w:val="0"/>
          <w:numId w:val="54"/>
        </w:numPr>
      </w:pPr>
      <w:r>
        <w:rPr>
          <w:rFonts w:hint="eastAsia"/>
        </w:rPr>
        <w:t>堆芯壳上表面和压力容器主法兰密封面周向角度精度±10＂。</w:t>
      </w:r>
    </w:p>
    <w:p w14:paraId="2A387DB3">
      <w:pPr>
        <w:pStyle w:val="107"/>
        <w:spacing w:before="156" w:after="156"/>
      </w:pPr>
      <w:bookmarkStart w:id="362" w:name="_Toc17361658"/>
      <w:bookmarkStart w:id="363" w:name="_Toc207715591"/>
      <w:bookmarkStart w:id="364" w:name="_Toc234677899"/>
      <w:bookmarkStart w:id="365" w:name="_Toc444086075"/>
      <w:bookmarkStart w:id="366" w:name="_Toc25532"/>
      <w:r>
        <w:rPr>
          <w:rFonts w:hint="eastAsia"/>
        </w:rPr>
        <w:t>上支承板上零部件的安装要求</w:t>
      </w:r>
      <w:bookmarkEnd w:id="362"/>
      <w:bookmarkEnd w:id="363"/>
      <w:bookmarkEnd w:id="364"/>
      <w:bookmarkEnd w:id="365"/>
      <w:bookmarkEnd w:id="366"/>
    </w:p>
    <w:p w14:paraId="543AF8B8">
      <w:pPr>
        <w:pStyle w:val="67"/>
        <w:spacing w:before="156" w:after="156"/>
      </w:pPr>
      <w:r>
        <w:rPr>
          <w:rFonts w:hint="eastAsia"/>
        </w:rPr>
        <w:t>6组吸收球上支承板穿管和吸收球落球贮球罐安装</w:t>
      </w:r>
    </w:p>
    <w:p w14:paraId="756489A0">
      <w:pPr>
        <w:pStyle w:val="58"/>
        <w:ind w:firstLine="420"/>
      </w:pPr>
      <w:r>
        <w:rPr>
          <w:rFonts w:hint="eastAsia"/>
        </w:rPr>
        <w:t>吸收球上支承板穿管和吸收球落球贮球罐安装要求如下：</w:t>
      </w:r>
    </w:p>
    <w:p w14:paraId="2D00B6B6">
      <w:pPr>
        <w:pStyle w:val="245"/>
        <w:numPr>
          <w:ilvl w:val="0"/>
          <w:numId w:val="55"/>
        </w:numPr>
      </w:pPr>
      <w:r>
        <w:rPr>
          <w:rFonts w:hint="eastAsia"/>
        </w:rPr>
        <w:t>吸收球贮球罐对压力容器筒体主法兰的位置度为φ1.0mm；</w:t>
      </w:r>
    </w:p>
    <w:p w14:paraId="0F6E3A10">
      <w:pPr>
        <w:pStyle w:val="245"/>
        <w:numPr>
          <w:ilvl w:val="0"/>
          <w:numId w:val="55"/>
        </w:numPr>
      </w:pPr>
      <w:r>
        <w:rPr>
          <w:rFonts w:hint="eastAsia"/>
        </w:rPr>
        <w:t>吸收球贮球罐对压力容器筒体主法兰平面的垂直度1.0mm；</w:t>
      </w:r>
    </w:p>
    <w:p w14:paraId="12B63867">
      <w:pPr>
        <w:pStyle w:val="245"/>
        <w:numPr>
          <w:ilvl w:val="0"/>
          <w:numId w:val="55"/>
        </w:numPr>
      </w:pPr>
      <w:r>
        <w:rPr>
          <w:rFonts w:hint="eastAsia"/>
        </w:rPr>
        <w:t>吸收球贮球罐的高度公差为±1.0mm。</w:t>
      </w:r>
    </w:p>
    <w:p w14:paraId="739E90EB">
      <w:pPr>
        <w:pStyle w:val="67"/>
        <w:spacing w:before="156" w:after="156"/>
      </w:pPr>
      <w:r>
        <w:rPr>
          <w:rFonts w:hint="eastAsia"/>
        </w:rPr>
        <w:t>24组控制棒导向管安装</w:t>
      </w:r>
    </w:p>
    <w:p w14:paraId="252A8ED8">
      <w:pPr>
        <w:pStyle w:val="58"/>
        <w:ind w:firstLine="420"/>
      </w:pPr>
      <w:r>
        <w:rPr>
          <w:rFonts w:hint="eastAsia"/>
        </w:rPr>
        <w:t>控制棒导向管的安装要求如下：</w:t>
      </w:r>
    </w:p>
    <w:p w14:paraId="6CB6B787">
      <w:pPr>
        <w:pStyle w:val="245"/>
        <w:numPr>
          <w:ilvl w:val="0"/>
          <w:numId w:val="56"/>
        </w:numPr>
      </w:pPr>
      <w:r>
        <w:rPr>
          <w:rFonts w:hint="eastAsia"/>
        </w:rPr>
        <w:t>上支承板上其他零部件（如燃料球载球管、吸收球供球管等）安装后，应保持离开控制棒导向管足够的安全距离（空间最小直线距离不大于30mm）；不允许出现相互接触、依靠甚至受力变形情况；不允许将控制棒导向管作为支承件，用来支承固定其他金属堆芯支承结构或其他系统的零部件;</w:t>
      </w:r>
    </w:p>
    <w:p w14:paraId="38ABA5B0">
      <w:pPr>
        <w:pStyle w:val="245"/>
        <w:numPr>
          <w:ilvl w:val="0"/>
          <w:numId w:val="56"/>
        </w:numPr>
      </w:pPr>
      <w:r>
        <w:rPr>
          <w:rFonts w:hint="eastAsia"/>
        </w:rPr>
        <w:t>控制棒上导向管对压力容器筒体主法兰密封面的位置度φ1.0mm;</w:t>
      </w:r>
    </w:p>
    <w:p w14:paraId="2C001D4A">
      <w:pPr>
        <w:pStyle w:val="245"/>
        <w:numPr>
          <w:ilvl w:val="0"/>
          <w:numId w:val="56"/>
        </w:numPr>
      </w:pPr>
      <w:r>
        <w:rPr>
          <w:rFonts w:hint="eastAsia"/>
        </w:rPr>
        <w:t>控制棒上导向管对压力容器筒体主法兰密封面的垂直度1.0mm;</w:t>
      </w:r>
    </w:p>
    <w:p w14:paraId="1B707D3F">
      <w:pPr>
        <w:pStyle w:val="245"/>
        <w:numPr>
          <w:ilvl w:val="0"/>
          <w:numId w:val="56"/>
        </w:numPr>
      </w:pPr>
      <w:r>
        <w:rPr>
          <w:rFonts w:hint="eastAsia"/>
        </w:rPr>
        <w:t>控制棒下导向管SR150球铰处喷涂二硫化钼润滑，可自由转动和摆动。</w:t>
      </w:r>
    </w:p>
    <w:p w14:paraId="458199CD">
      <w:pPr>
        <w:pStyle w:val="67"/>
        <w:spacing w:before="156" w:after="156"/>
      </w:pPr>
      <w:r>
        <w:rPr>
          <w:rFonts w:hint="eastAsia"/>
        </w:rPr>
        <w:t>中子源上弯导向管安装</w:t>
      </w:r>
    </w:p>
    <w:p w14:paraId="17F624FE">
      <w:pPr>
        <w:pStyle w:val="58"/>
        <w:ind w:firstLine="420"/>
      </w:pPr>
      <w:r>
        <w:rPr>
          <w:rFonts w:hint="eastAsia"/>
        </w:rPr>
        <w:t>中子源上弯导向管的安装要求如下：</w:t>
      </w:r>
    </w:p>
    <w:p w14:paraId="58F5DDBE">
      <w:pPr>
        <w:pStyle w:val="245"/>
        <w:numPr>
          <w:ilvl w:val="0"/>
          <w:numId w:val="57"/>
        </w:numPr>
      </w:pPr>
      <w:r>
        <w:rPr>
          <w:rFonts w:hint="eastAsia"/>
        </w:rPr>
        <w:t>中子源导管顶端喇叭口对压力容器筒体主法兰的位置度φ1.0mm；</w:t>
      </w:r>
    </w:p>
    <w:p w14:paraId="6B48A813">
      <w:pPr>
        <w:pStyle w:val="245"/>
        <w:numPr>
          <w:ilvl w:val="0"/>
          <w:numId w:val="57"/>
        </w:numPr>
      </w:pPr>
      <w:r>
        <w:rPr>
          <w:rFonts w:hint="eastAsia"/>
        </w:rPr>
        <w:t>安装时应注意对已经安装好的中子源导管进行必要的防护，以防石墨、碳砖和其他金属堆芯支承结构对其磕碰造成损伤、变形；</w:t>
      </w:r>
    </w:p>
    <w:p w14:paraId="5D64C9E0">
      <w:pPr>
        <w:pStyle w:val="245"/>
        <w:numPr>
          <w:ilvl w:val="0"/>
          <w:numId w:val="57"/>
        </w:numPr>
      </w:pPr>
      <w:r>
        <w:rPr>
          <w:rFonts w:hint="eastAsia"/>
        </w:rPr>
        <w:t>中子源导管组件安装调整好后，要确保中子源启动计数器管模拟件能顺利上下往复穿过中子源导管组件，无卡住、运动不顺畅等情况出现。</w:t>
      </w:r>
    </w:p>
    <w:p w14:paraId="7EA182A5">
      <w:pPr>
        <w:pStyle w:val="67"/>
        <w:spacing w:before="156" w:after="156"/>
      </w:pPr>
      <w:r>
        <w:rPr>
          <w:rFonts w:hint="eastAsia"/>
        </w:rPr>
        <w:t>上阻流环安装</w:t>
      </w:r>
    </w:p>
    <w:p w14:paraId="151DDFD7">
      <w:pPr>
        <w:pStyle w:val="232"/>
      </w:pPr>
      <w:r>
        <w:rPr>
          <w:rFonts w:hint="eastAsia"/>
        </w:rPr>
        <w:t>上阻流环和压力容器主法兰密封面在0°、90°、180°、270°四处象限点测量周向角度精度±30＂。</w:t>
      </w:r>
    </w:p>
    <w:p w14:paraId="36210429">
      <w:pPr>
        <w:pStyle w:val="67"/>
        <w:spacing w:before="156" w:after="156"/>
      </w:pPr>
      <w:r>
        <w:rPr>
          <w:rFonts w:hint="eastAsia"/>
        </w:rPr>
        <w:t>材料辐照管安装</w:t>
      </w:r>
    </w:p>
    <w:p w14:paraId="2BA9768E">
      <w:pPr>
        <w:pStyle w:val="58"/>
        <w:ind w:firstLine="420"/>
      </w:pPr>
      <w:r>
        <w:rPr>
          <w:rFonts w:hint="eastAsia"/>
        </w:rPr>
        <w:t>材料辐照管的安装要求如下：</w:t>
      </w:r>
    </w:p>
    <w:p w14:paraId="1F360160">
      <w:pPr>
        <w:pStyle w:val="245"/>
        <w:numPr>
          <w:ilvl w:val="0"/>
          <w:numId w:val="58"/>
        </w:numPr>
      </w:pPr>
      <w:r>
        <w:rPr>
          <w:rFonts w:hint="eastAsia"/>
        </w:rPr>
        <w:t>材料辐照管顶端喇叭口相对压力容器筒体主法兰位置度为φ1.0mm；</w:t>
      </w:r>
    </w:p>
    <w:p w14:paraId="75DF86E7">
      <w:pPr>
        <w:pStyle w:val="245"/>
        <w:numPr>
          <w:ilvl w:val="0"/>
          <w:numId w:val="58"/>
        </w:numPr>
      </w:pPr>
      <w:r>
        <w:rPr>
          <w:rFonts w:hint="eastAsia"/>
        </w:rPr>
        <w:t>安装时应注意对已经装好的材料辐照管进行必要防护，以防石墨、碳砖、和其他金属堆芯支承结构对其磕碰造成损伤、变形；</w:t>
      </w:r>
    </w:p>
    <w:p w14:paraId="1B47539E">
      <w:pPr>
        <w:pStyle w:val="245"/>
        <w:numPr>
          <w:ilvl w:val="0"/>
          <w:numId w:val="58"/>
        </w:numPr>
      </w:pPr>
      <w:r>
        <w:rPr>
          <w:rFonts w:hint="eastAsia"/>
        </w:rPr>
        <w:t>材料辐照管畅通，用辐照监督管在其中上下往复移动，移动过程无卡涩、运动不畅等情况。</w:t>
      </w:r>
    </w:p>
    <w:p w14:paraId="1A5F8614">
      <w:pPr>
        <w:pStyle w:val="106"/>
        <w:spacing w:before="312" w:after="312"/>
      </w:pPr>
      <w:bookmarkStart w:id="367" w:name="_Toc234677900"/>
      <w:bookmarkStart w:id="368" w:name="_Toc444086082"/>
      <w:bookmarkStart w:id="369" w:name="_Toc14611"/>
      <w:bookmarkStart w:id="370" w:name="_Toc17361662"/>
      <w:bookmarkStart w:id="371" w:name="_Toc207715592"/>
      <w:r>
        <w:rPr>
          <w:rFonts w:hint="eastAsia"/>
        </w:rPr>
        <w:t>验收</w:t>
      </w:r>
      <w:bookmarkEnd w:id="367"/>
      <w:bookmarkEnd w:id="368"/>
      <w:bookmarkEnd w:id="369"/>
      <w:bookmarkEnd w:id="370"/>
      <w:bookmarkEnd w:id="371"/>
    </w:p>
    <w:p w14:paraId="5DA77126">
      <w:pPr>
        <w:pStyle w:val="232"/>
      </w:pPr>
      <w:r>
        <w:rPr>
          <w:rFonts w:hint="eastAsia"/>
        </w:rPr>
        <w:t>现场验收时，</w:t>
      </w:r>
      <w:bookmarkStart w:id="372" w:name="_Hlk208325637"/>
      <w:r>
        <w:rPr>
          <w:rFonts w:hint="eastAsia"/>
        </w:rPr>
        <w:t>除要求安装过程中进行的各种检查均符合安装的技术条件要求外</w:t>
      </w:r>
      <w:bookmarkEnd w:id="372"/>
      <w:r>
        <w:rPr>
          <w:rFonts w:hint="eastAsia"/>
        </w:rPr>
        <w:t>，在金属堆芯支承结构安装完成后还应进行下列检查：</w:t>
      </w:r>
    </w:p>
    <w:p w14:paraId="7BACAE5F">
      <w:pPr>
        <w:pStyle w:val="234"/>
        <w:numPr>
          <w:ilvl w:val="255"/>
          <w:numId w:val="0"/>
        </w:numPr>
        <w:ind w:left="426" w:leftChars="203" w:firstLine="12" w:firstLineChars="6"/>
      </w:pPr>
      <w:r>
        <w:rPr>
          <w:rFonts w:hint="eastAsia"/>
        </w:rPr>
        <w:t>——根据施工设计文件要求，检测燃料球的供球管路是否能正常工作，堆芯出球管是否能正常出球；对载球管和载气管进行试验；</w:t>
      </w:r>
    </w:p>
    <w:p w14:paraId="2AAA5E1C">
      <w:pPr>
        <w:pStyle w:val="234"/>
        <w:numPr>
          <w:ilvl w:val="255"/>
          <w:numId w:val="0"/>
        </w:numPr>
        <w:ind w:left="426" w:leftChars="203" w:firstLine="12" w:firstLineChars="6"/>
      </w:pPr>
      <w:r>
        <w:rPr>
          <w:rFonts w:hint="eastAsia"/>
        </w:rPr>
        <w:t>——接通热电偶导线线路，测定各测量点的温度，并形成记录；</w:t>
      </w:r>
    </w:p>
    <w:p w14:paraId="09779C25">
      <w:pPr>
        <w:pStyle w:val="58"/>
        <w:ind w:firstLine="420"/>
      </w:pPr>
      <w:r>
        <w:rPr>
          <w:rFonts w:hint="eastAsia"/>
        </w:rPr>
        <w:t>——检查控制棒导向管、贮球管等的安装是否符合规定的技术条件。</w:t>
      </w:r>
      <w:bookmarkEnd w:id="21"/>
      <w:bookmarkStart w:id="373" w:name="BookMark5"/>
    </w:p>
    <w:p w14:paraId="6258FFAD">
      <w:pPr>
        <w:widowControl/>
        <w:adjustRightInd/>
        <w:spacing w:line="240" w:lineRule="auto"/>
        <w:jc w:val="left"/>
        <w:rPr>
          <w:rFonts w:hint="eastAsia" w:ascii="宋体" w:hAnsi="Times New Roman"/>
          <w:kern w:val="0"/>
          <w:szCs w:val="20"/>
        </w:rPr>
      </w:pPr>
      <w:r>
        <w:br w:type="page"/>
      </w:r>
    </w:p>
    <w:p w14:paraId="4CADE48C">
      <w:pPr>
        <w:pStyle w:val="201"/>
      </w:pPr>
    </w:p>
    <w:bookmarkEnd w:id="373"/>
    <w:p w14:paraId="6F7C7D66">
      <w:pPr>
        <w:pStyle w:val="65"/>
        <w:spacing w:after="468" w:afterLines="150"/>
      </w:pPr>
      <w:bookmarkStart w:id="374" w:name="_Toc126746514"/>
      <w:bookmarkStart w:id="375" w:name="_Toc201757103"/>
      <w:bookmarkStart w:id="376" w:name="_Toc126746813"/>
      <w:bookmarkStart w:id="377" w:name="_Toc234677901"/>
      <w:bookmarkStart w:id="378" w:name="_Toc202774765"/>
      <w:bookmarkStart w:id="379" w:name="BookMark6"/>
      <w:r>
        <w:rPr>
          <w:rFonts w:hint="eastAsia"/>
          <w:spacing w:val="105"/>
        </w:rPr>
        <w:t>参考文</w:t>
      </w:r>
      <w:r>
        <w:rPr>
          <w:rFonts w:hint="eastAsia"/>
        </w:rPr>
        <w:t>献</w:t>
      </w:r>
      <w:bookmarkEnd w:id="374"/>
      <w:bookmarkEnd w:id="375"/>
      <w:bookmarkEnd w:id="376"/>
      <w:bookmarkEnd w:id="377"/>
      <w:bookmarkEnd w:id="378"/>
    </w:p>
    <w:p w14:paraId="15E3AD2A">
      <w:pPr>
        <w:pStyle w:val="232"/>
        <w:rPr>
          <w:rFonts w:hint="eastAsia" w:ascii="Times New Roman"/>
        </w:rPr>
      </w:pPr>
      <w:r>
        <w:rPr>
          <w:rFonts w:hint="eastAsia" w:ascii="Times New Roman"/>
        </w:rPr>
        <w:t xml:space="preserve">[1]  </w:t>
      </w:r>
      <w:r>
        <w:rPr>
          <w:rFonts w:ascii="Times New Roman"/>
        </w:rPr>
        <w:t>GB/T 1800.1-2020 产品几何技术规范（GPS）线性尺寸公差 ISO 代号体系</w:t>
      </w:r>
    </w:p>
    <w:p w14:paraId="5A76E884">
      <w:pPr>
        <w:pStyle w:val="232"/>
        <w:rPr>
          <w:rFonts w:hint="eastAsia" w:ascii="Times New Roman"/>
        </w:rPr>
      </w:pPr>
      <w:r>
        <w:rPr>
          <w:rFonts w:hint="eastAsia" w:ascii="Times New Roman"/>
        </w:rPr>
        <w:t xml:space="preserve">[2] </w:t>
      </w:r>
      <w:r>
        <w:rPr>
          <w:rFonts w:ascii="Times New Roman"/>
        </w:rPr>
        <w:t xml:space="preserve"> GB/T 1184-1996 形状和位置公差未注公关值</w:t>
      </w:r>
    </w:p>
    <w:p w14:paraId="1EC2FC01">
      <w:pPr>
        <w:pStyle w:val="232"/>
        <w:rPr>
          <w:rFonts w:ascii="Times New Roman"/>
        </w:rPr>
      </w:pPr>
      <w:r>
        <w:rPr>
          <w:rFonts w:hint="eastAsia" w:ascii="Times New Roman"/>
        </w:rPr>
        <w:t xml:space="preserve">[3]  </w:t>
      </w:r>
      <w:r>
        <w:rPr>
          <w:rFonts w:ascii="Times New Roman"/>
        </w:rPr>
        <w:t>GB/T 1031-2009 产品几何技术规范（GPS）表面结构 轮廓法 表面粗糙度参数及其数值</w:t>
      </w:r>
    </w:p>
    <w:p w14:paraId="662CD53C">
      <w:pPr>
        <w:pStyle w:val="232"/>
        <w:rPr>
          <w:rFonts w:ascii="Times New Roman"/>
        </w:rPr>
      </w:pPr>
      <w:r>
        <w:rPr>
          <w:rFonts w:hint="eastAsia" w:ascii="Times New Roman"/>
        </w:rPr>
        <w:t xml:space="preserve">[4]  </w:t>
      </w:r>
      <w:r>
        <w:rPr>
          <w:rFonts w:ascii="Times New Roman"/>
        </w:rPr>
        <w:t>ASME BPVC 第Ⅴ卷-2004 无损检验</w:t>
      </w:r>
    </w:p>
    <w:p w14:paraId="5C32CEBF">
      <w:pPr>
        <w:pStyle w:val="232"/>
        <w:rPr>
          <w:rFonts w:hint="eastAsia" w:ascii="Times New Roman"/>
        </w:rPr>
      </w:pPr>
      <w:r>
        <w:rPr>
          <w:rFonts w:hint="eastAsia" w:ascii="Times New Roman"/>
        </w:rPr>
        <w:t>[5]  CX1T104311JBB0002RQ010 陶瓷堆芯支承结构现场预组装和安装技术条件</w:t>
      </w:r>
    </w:p>
    <w:p w14:paraId="243261F6">
      <w:pPr>
        <w:pStyle w:val="232"/>
        <w:rPr>
          <w:rFonts w:hint="eastAsia" w:ascii="Times New Roman"/>
        </w:rPr>
      </w:pPr>
      <w:r>
        <w:rPr>
          <w:rFonts w:hint="eastAsia" w:ascii="Times New Roman"/>
        </w:rPr>
        <w:t>[6]  CX1T104311JBD0002RQ009_陶瓷堆芯支承结构现场预组装和安装清洁技术条件</w:t>
      </w:r>
    </w:p>
    <w:p w14:paraId="3BE4D569">
      <w:pPr>
        <w:pStyle w:val="232"/>
        <w:rPr>
          <w:rFonts w:hint="eastAsia" w:ascii="Times New Roman"/>
        </w:rPr>
      </w:pPr>
      <w:r>
        <w:rPr>
          <w:rFonts w:hint="eastAsia" w:ascii="Times New Roman"/>
        </w:rPr>
        <w:t>[7]  CX1T104311JBD0002EN001 陶瓷堆芯支承结构设计说明书</w:t>
      </w:r>
    </w:p>
    <w:p w14:paraId="54DBFC14">
      <w:pPr>
        <w:pStyle w:val="232"/>
        <w:rPr>
          <w:rFonts w:hint="eastAsia" w:ascii="Times New Roman"/>
        </w:rPr>
      </w:pPr>
      <w:r>
        <w:rPr>
          <w:rFonts w:hint="eastAsia" w:ascii="Times New Roman"/>
        </w:rPr>
        <w:t>[8]  CX1T104241JBA0001RQ007 金属堆芯支承结构现场预组装技术条件</w:t>
      </w:r>
    </w:p>
    <w:p w14:paraId="16626A6D">
      <w:pPr>
        <w:pStyle w:val="232"/>
        <w:rPr>
          <w:rFonts w:hint="eastAsia" w:ascii="Times New Roman"/>
        </w:rPr>
      </w:pPr>
      <w:r>
        <w:rPr>
          <w:rFonts w:hint="eastAsia" w:ascii="Times New Roman"/>
        </w:rPr>
        <w:t>[9]  CX1T104311JBD0002DV000 1#机组石墨和碳堆芯支承结构现场预组装图册</w:t>
      </w:r>
    </w:p>
    <w:p w14:paraId="2D7D4C42">
      <w:pPr>
        <w:pStyle w:val="232"/>
        <w:rPr>
          <w:rFonts w:hint="eastAsia" w:ascii="Times New Roman"/>
        </w:rPr>
      </w:pPr>
      <w:r>
        <w:rPr>
          <w:rFonts w:hint="eastAsia" w:ascii="Times New Roman"/>
        </w:rPr>
        <w:t>[10]  CX1T104311JBA0002DV200 1#机组金属堆芯支承结构现场预组图册</w:t>
      </w:r>
    </w:p>
    <w:bookmarkEnd w:id="379"/>
    <w:p w14:paraId="75C47FB0">
      <w:pPr>
        <w:pStyle w:val="232"/>
        <w:ind w:firstLine="0" w:firstLineChars="0"/>
        <w:jc w:val="center"/>
      </w:pPr>
      <w:bookmarkStart w:id="380" w:name="BookMark8"/>
      <w:r>
        <w:rPr>
          <w:rFonts w:hint="eastAsia"/>
        </w:rP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80"/>
    </w:p>
    <w:sectPr>
      <w:headerReference r:id="rId17" w:type="default"/>
      <w:footerReference r:id="rId19" w:type="default"/>
      <w:headerReference r:id="rId18" w:type="even"/>
      <w:footerReference r:id="rId20"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0F328">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5EF12">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9A4DB">
    <w:pPr>
      <w:pStyle w:val="54"/>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8CDB7">
    <w:pPr>
      <w:pStyle w:val="53"/>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295D9">
    <w:pPr>
      <w:pStyle w:val="54"/>
    </w:pPr>
    <w:r>
      <w:fldChar w:fldCharType="begin"/>
    </w:r>
    <w:r>
      <w:instrText xml:space="preserve">PAGE   \* MERGEFORMAT</w:instrText>
    </w:r>
    <w:r>
      <w:fldChar w:fldCharType="separate"/>
    </w:r>
    <w:r>
      <w:rPr>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1EBE9">
    <w:pPr>
      <w:pStyle w:val="53"/>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BF935">
    <w:pPr>
      <w:pStyle w:val="54"/>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A11C0">
    <w:pPr>
      <w:pStyle w:val="53"/>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90AB5">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4AFA3">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4E9A8">
    <w:pPr>
      <w:pStyle w:val="63"/>
      <w:rPr>
        <w:rFonts w:hint="eastAsia"/>
      </w:rPr>
    </w:pPr>
    <w:r>
      <w:fldChar w:fldCharType="begin"/>
    </w:r>
    <w:r>
      <w:instrText xml:space="preserve"> STYLEREF  标准文件_文件编号  \* MERGEFORMAT </w:instrText>
    </w:r>
    <w:r>
      <w:fldChar w:fldCharType="separate"/>
    </w:r>
    <w:r>
      <w:t>T/CNS XX 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A8F00">
    <w:pPr>
      <w:pStyle w:val="64"/>
      <w:rPr>
        <w:rFonts w:hint="eastAsia"/>
      </w:rPr>
    </w:pPr>
    <w:r>
      <w:fldChar w:fldCharType="begin"/>
    </w:r>
    <w:r>
      <w:instrText xml:space="preserve"> STYLEREF  标准文件_文件编号 \* MERGEFORMAT </w:instrText>
    </w:r>
    <w:r>
      <w:fldChar w:fldCharType="separate"/>
    </w:r>
    <w:r>
      <w:t>T/CNS XX 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90B64">
    <w:pPr>
      <w:pStyle w:val="63"/>
      <w:rPr>
        <w:rFonts w:hint="eastAsia"/>
      </w:rPr>
    </w:pPr>
    <w:r>
      <w:fldChar w:fldCharType="begin"/>
    </w:r>
    <w:r>
      <w:instrText xml:space="preserve"> STYLEREF  标准文件_文件编号  \* MERGEFORMAT </w:instrText>
    </w:r>
    <w:r>
      <w:fldChar w:fldCharType="separate"/>
    </w:r>
    <w:r>
      <w:t>T/CNS XX 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D105A">
    <w:pPr>
      <w:pStyle w:val="64"/>
      <w:rPr>
        <w:rFonts w:hint="eastAsia"/>
      </w:rPr>
    </w:pPr>
    <w:r>
      <w:fldChar w:fldCharType="begin"/>
    </w:r>
    <w:r>
      <w:instrText xml:space="preserve"> STYLEREF  标准文件_文件编号 \* MERGEFORMAT </w:instrText>
    </w:r>
    <w:r>
      <w:fldChar w:fldCharType="separate"/>
    </w:r>
    <w:r>
      <w:t>T/CNS XX 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C9A0C">
    <w:pPr>
      <w:pStyle w:val="63"/>
      <w:rPr>
        <w:rFonts w:hint="eastAsia"/>
      </w:rPr>
    </w:pPr>
    <w:r>
      <w:fldChar w:fldCharType="begin"/>
    </w:r>
    <w:r>
      <w:instrText xml:space="preserve"> STYLEREF  标准文件_文件编号  \* MERGEFORMAT </w:instrText>
    </w:r>
    <w:r>
      <w:fldChar w:fldCharType="separate"/>
    </w:r>
    <w:r>
      <w:t>T/CNS XX 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792A9">
    <w:pPr>
      <w:pStyle w:val="64"/>
      <w:rPr>
        <w:rFonts w:hint="eastAsia"/>
      </w:rPr>
    </w:pPr>
    <w:r>
      <w:fldChar w:fldCharType="begin"/>
    </w:r>
    <w:r>
      <w:instrText xml:space="preserve"> STYLEREF  标准文件_文件编号 \* MERGEFORMAT </w:instrText>
    </w:r>
    <w:r>
      <w:fldChar w:fldCharType="separate"/>
    </w:r>
    <w:r>
      <w:t>T/CNS XX 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9A7881"/>
    <w:multiLevelType w:val="multilevel"/>
    <w:tmpl w:val="D29A7881"/>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0F6C5E16"/>
    <w:multiLevelType w:val="multilevel"/>
    <w:tmpl w:val="0F6C5E16"/>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15AF1AA2"/>
    <w:multiLevelType w:val="multilevel"/>
    <w:tmpl w:val="15AF1AA2"/>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166F56DE"/>
    <w:multiLevelType w:val="multilevel"/>
    <w:tmpl w:val="166F56DE"/>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1">
    <w:nsid w:val="178F79C6"/>
    <w:multiLevelType w:val="multilevel"/>
    <w:tmpl w:val="178F79C6"/>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18245240"/>
    <w:multiLevelType w:val="multilevel"/>
    <w:tmpl w:val="18245240"/>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5">
    <w:nsid w:val="1C0F22D1"/>
    <w:multiLevelType w:val="multilevel"/>
    <w:tmpl w:val="1C0F22D1"/>
    <w:lvl w:ilvl="0" w:tentative="0">
      <w:start w:val="1"/>
      <w:numFmt w:val="lowerLetter"/>
      <w:pStyle w:val="24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41"/>
      <w:lvlText w:val="%2)"/>
      <w:lvlJc w:val="left"/>
      <w:pPr>
        <w:tabs>
          <w:tab w:val="left" w:pos="1260"/>
        </w:tabs>
        <w:ind w:left="1259" w:hanging="419"/>
      </w:pPr>
      <w:rPr>
        <w:rFonts w:hint="eastAsia"/>
      </w:rPr>
    </w:lvl>
    <w:lvl w:ilvl="2" w:tentative="0">
      <w:start w:val="1"/>
      <w:numFmt w:val="decimal"/>
      <w:pStyle w:val="246"/>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7">
    <w:nsid w:val="1FC91163"/>
    <w:multiLevelType w:val="multilevel"/>
    <w:tmpl w:val="1FC91163"/>
    <w:lvl w:ilvl="0" w:tentative="0">
      <w:start w:val="1"/>
      <w:numFmt w:val="decimal"/>
      <w:pStyle w:val="238"/>
      <w:suff w:val="nothing"/>
      <w:lvlText w:val="%1　"/>
      <w:lvlJc w:val="left"/>
      <w:pPr>
        <w:ind w:left="1560" w:firstLine="0"/>
      </w:pPr>
      <w:rPr>
        <w:rFonts w:hint="eastAsia" w:ascii="黑体" w:hAnsi="Times New Roman" w:eastAsia="黑体"/>
        <w:b w:val="0"/>
        <w:i w:val="0"/>
        <w:sz w:val="21"/>
        <w:szCs w:val="21"/>
      </w:rPr>
    </w:lvl>
    <w:lvl w:ilvl="1" w:tentative="0">
      <w:start w:val="1"/>
      <w:numFmt w:val="decimal"/>
      <w:pStyle w:val="23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9"/>
      <w:suff w:val="nothing"/>
      <w:lvlText w:val="%1.%2.%3　"/>
      <w:lvlJc w:val="left"/>
      <w:pPr>
        <w:ind w:left="0" w:firstLine="0"/>
      </w:pPr>
      <w:rPr>
        <w:rFonts w:hint="eastAsia" w:ascii="黑体" w:hAnsi="Times New Roman" w:eastAsia="黑体"/>
        <w:b w:val="0"/>
        <w:i w:val="0"/>
        <w:sz w:val="21"/>
      </w:rPr>
    </w:lvl>
    <w:lvl w:ilvl="3" w:tentative="0">
      <w:start w:val="1"/>
      <w:numFmt w:val="decimal"/>
      <w:pStyle w:val="240"/>
      <w:suff w:val="nothing"/>
      <w:lvlText w:val="%1.%2.%3.%4　"/>
      <w:lvlJc w:val="left"/>
      <w:pPr>
        <w:ind w:left="0" w:firstLine="0"/>
      </w:pPr>
      <w:rPr>
        <w:rFonts w:hint="eastAsia" w:ascii="黑体" w:hAnsi="Times New Roman" w:eastAsia="黑体"/>
        <w:b w:val="0"/>
        <w:i w:val="0"/>
        <w:sz w:val="21"/>
      </w:rPr>
    </w:lvl>
    <w:lvl w:ilvl="4" w:tentative="0">
      <w:start w:val="1"/>
      <w:numFmt w:val="decimal"/>
      <w:pStyle w:val="242"/>
      <w:suff w:val="nothing"/>
      <w:lvlText w:val="%1.%2.%3.%4.%5　"/>
      <w:lvlJc w:val="left"/>
      <w:pPr>
        <w:ind w:left="0" w:firstLine="0"/>
      </w:pPr>
      <w:rPr>
        <w:rFonts w:hint="eastAsia" w:ascii="黑体" w:hAnsi="Times New Roman" w:eastAsia="黑体"/>
        <w:b w:val="0"/>
        <w:i w:val="0"/>
        <w:sz w:val="21"/>
      </w:rPr>
    </w:lvl>
    <w:lvl w:ilvl="5" w:tentative="0">
      <w:start w:val="1"/>
      <w:numFmt w:val="decimal"/>
      <w:pStyle w:val="24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8">
    <w:nsid w:val="227E6DC3"/>
    <w:multiLevelType w:val="multilevel"/>
    <w:tmpl w:val="227E6DC3"/>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9">
    <w:nsid w:val="24767A61"/>
    <w:multiLevelType w:val="multilevel"/>
    <w:tmpl w:val="24767A61"/>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0">
    <w:nsid w:val="2C5917C3"/>
    <w:multiLevelType w:val="multilevel"/>
    <w:tmpl w:val="2C5917C3"/>
    <w:lvl w:ilvl="0" w:tentative="0">
      <w:start w:val="1"/>
      <w:numFmt w:val="none"/>
      <w:pStyle w:val="134"/>
      <w:lvlText w:val="%1——"/>
      <w:lvlJc w:val="left"/>
      <w:pPr>
        <w:tabs>
          <w:tab w:val="left" w:pos="851"/>
        </w:tabs>
        <w:ind w:left="851" w:hanging="426"/>
      </w:pPr>
      <w:rPr>
        <w:rFonts w:hint="default" w:ascii="Times New Roman" w:hAnsi="Times New Roman" w:eastAsia="宋体" w:cs="Times New Roman"/>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1">
    <w:nsid w:val="3055591D"/>
    <w:multiLevelType w:val="multilevel"/>
    <w:tmpl w:val="3055591D"/>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2">
    <w:nsid w:val="32176773"/>
    <w:multiLevelType w:val="multilevel"/>
    <w:tmpl w:val="32176773"/>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3">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4">
    <w:nsid w:val="412024DA"/>
    <w:multiLevelType w:val="multilevel"/>
    <w:tmpl w:val="412024DA"/>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5">
    <w:nsid w:val="44C45775"/>
    <w:multiLevelType w:val="multilevel"/>
    <w:tmpl w:val="44C45775"/>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6">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7">
    <w:nsid w:val="470254B0"/>
    <w:multiLevelType w:val="multilevel"/>
    <w:tmpl w:val="470254B0"/>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8">
    <w:nsid w:val="473466C5"/>
    <w:multiLevelType w:val="multilevel"/>
    <w:tmpl w:val="473466C5"/>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9">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0">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1">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50CB4CD0"/>
    <w:multiLevelType w:val="multilevel"/>
    <w:tmpl w:val="50CB4CD0"/>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3">
    <w:nsid w:val="523570C8"/>
    <w:multiLevelType w:val="multilevel"/>
    <w:tmpl w:val="523570C8"/>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4">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35">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6">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7">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8">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39">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0">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41">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2">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43">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4">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default" w:ascii="黑体" w:eastAsia="黑体"/>
        <w:b w:val="0"/>
        <w:i w:val="0"/>
        <w:color w:val="auto"/>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993"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6">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47">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8">
    <w:nsid w:val="72847576"/>
    <w:multiLevelType w:val="multilevel"/>
    <w:tmpl w:val="72847576"/>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9">
    <w:nsid w:val="73706AB1"/>
    <w:multiLevelType w:val="multilevel"/>
    <w:tmpl w:val="73706AB1"/>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1">
    <w:nsid w:val="77541785"/>
    <w:multiLevelType w:val="multilevel"/>
    <w:tmpl w:val="77541785"/>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2">
    <w:nsid w:val="79A50604"/>
    <w:multiLevelType w:val="multilevel"/>
    <w:tmpl w:val="79A50604"/>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3">
    <w:nsid w:val="7F5A75C3"/>
    <w:multiLevelType w:val="multilevel"/>
    <w:tmpl w:val="7F5A75C3"/>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
  </w:num>
  <w:num w:numId="2">
    <w:abstractNumId w:val="45"/>
  </w:num>
  <w:num w:numId="3">
    <w:abstractNumId w:val="6"/>
  </w:num>
  <w:num w:numId="4">
    <w:abstractNumId w:val="41"/>
  </w:num>
  <w:num w:numId="5">
    <w:abstractNumId w:val="36"/>
  </w:num>
  <w:num w:numId="6">
    <w:abstractNumId w:val="29"/>
  </w:num>
  <w:num w:numId="7">
    <w:abstractNumId w:val="14"/>
  </w:num>
  <w:num w:numId="8">
    <w:abstractNumId w:val="4"/>
  </w:num>
  <w:num w:numId="9">
    <w:abstractNumId w:val="16"/>
  </w:num>
  <w:num w:numId="10">
    <w:abstractNumId w:val="34"/>
  </w:num>
  <w:num w:numId="11">
    <w:abstractNumId w:val="43"/>
  </w:num>
  <w:num w:numId="12">
    <w:abstractNumId w:val="23"/>
  </w:num>
  <w:num w:numId="13">
    <w:abstractNumId w:val="26"/>
  </w:num>
  <w:num w:numId="14">
    <w:abstractNumId w:val="13"/>
  </w:num>
  <w:num w:numId="15">
    <w:abstractNumId w:val="37"/>
  </w:num>
  <w:num w:numId="16">
    <w:abstractNumId w:val="39"/>
  </w:num>
  <w:num w:numId="17">
    <w:abstractNumId w:val="35"/>
  </w:num>
  <w:num w:numId="18">
    <w:abstractNumId w:val="47"/>
  </w:num>
  <w:num w:numId="19">
    <w:abstractNumId w:val="31"/>
  </w:num>
  <w:num w:numId="20">
    <w:abstractNumId w:val="2"/>
  </w:num>
  <w:num w:numId="21">
    <w:abstractNumId w:val="20"/>
  </w:num>
  <w:num w:numId="22">
    <w:abstractNumId w:val="50"/>
  </w:num>
  <w:num w:numId="23">
    <w:abstractNumId w:val="38"/>
  </w:num>
  <w:num w:numId="24">
    <w:abstractNumId w:val="7"/>
  </w:num>
  <w:num w:numId="25">
    <w:abstractNumId w:val="44"/>
  </w:num>
  <w:num w:numId="26">
    <w:abstractNumId w:val="46"/>
  </w:num>
  <w:num w:numId="27">
    <w:abstractNumId w:val="3"/>
  </w:num>
  <w:num w:numId="28">
    <w:abstractNumId w:val="5"/>
  </w:num>
  <w:num w:numId="29">
    <w:abstractNumId w:val="30"/>
  </w:num>
  <w:num w:numId="30">
    <w:abstractNumId w:val="42"/>
  </w:num>
  <w:num w:numId="31">
    <w:abstractNumId w:val="40"/>
  </w:num>
  <w:num w:numId="32">
    <w:abstractNumId w:val="17"/>
  </w:num>
  <w:num w:numId="33">
    <w:abstractNumId w:val="15"/>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11"/>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1"/>
  </w:num>
  <w:num w:numId="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num>
  <w:num w:numId="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attachedTemplate r:id="rId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JmZDBjM2Q2ZjdiMDQxMmU4NDAwOTMwYmNhZWYzNDYifQ=="/>
  </w:docVars>
  <w:rsids>
    <w:rsidRoot w:val="00F5577F"/>
    <w:rsid w:val="0000040A"/>
    <w:rsid w:val="00000A94"/>
    <w:rsid w:val="00001972"/>
    <w:rsid w:val="00001D9A"/>
    <w:rsid w:val="0000380F"/>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764"/>
    <w:rsid w:val="000556ED"/>
    <w:rsid w:val="00055FE2"/>
    <w:rsid w:val="0005616F"/>
    <w:rsid w:val="00056C9A"/>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7FC"/>
    <w:rsid w:val="00094D73"/>
    <w:rsid w:val="00096D63"/>
    <w:rsid w:val="000A0B60"/>
    <w:rsid w:val="000A0EB8"/>
    <w:rsid w:val="000A19FC"/>
    <w:rsid w:val="000A296B"/>
    <w:rsid w:val="000A7311"/>
    <w:rsid w:val="000B060F"/>
    <w:rsid w:val="000B1592"/>
    <w:rsid w:val="000B1FF2"/>
    <w:rsid w:val="000B3CDA"/>
    <w:rsid w:val="000B4D26"/>
    <w:rsid w:val="000B6A0B"/>
    <w:rsid w:val="000C0F6C"/>
    <w:rsid w:val="000C11DB"/>
    <w:rsid w:val="000C1492"/>
    <w:rsid w:val="000C2FBD"/>
    <w:rsid w:val="000C4B41"/>
    <w:rsid w:val="000C57D6"/>
    <w:rsid w:val="000C6362"/>
    <w:rsid w:val="000C64C1"/>
    <w:rsid w:val="000C7666"/>
    <w:rsid w:val="000D0A9C"/>
    <w:rsid w:val="000D1795"/>
    <w:rsid w:val="000D2A27"/>
    <w:rsid w:val="000D329A"/>
    <w:rsid w:val="000D4B9C"/>
    <w:rsid w:val="000D4EB6"/>
    <w:rsid w:val="000D7177"/>
    <w:rsid w:val="000D753B"/>
    <w:rsid w:val="000E17C8"/>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28F"/>
    <w:rsid w:val="001B06E8"/>
    <w:rsid w:val="001B71D0"/>
    <w:rsid w:val="001B71EE"/>
    <w:rsid w:val="001C04A8"/>
    <w:rsid w:val="001C2881"/>
    <w:rsid w:val="001C2C03"/>
    <w:rsid w:val="001C42F7"/>
    <w:rsid w:val="001C49E5"/>
    <w:rsid w:val="001C680C"/>
    <w:rsid w:val="001C72FB"/>
    <w:rsid w:val="001C7FEA"/>
    <w:rsid w:val="001D0499"/>
    <w:rsid w:val="001D0BBE"/>
    <w:rsid w:val="001D0ED4"/>
    <w:rsid w:val="001D212F"/>
    <w:rsid w:val="001D29D7"/>
    <w:rsid w:val="001D2DE7"/>
    <w:rsid w:val="001D411C"/>
    <w:rsid w:val="001E1B6A"/>
    <w:rsid w:val="001E2484"/>
    <w:rsid w:val="001E3CC4"/>
    <w:rsid w:val="001E4882"/>
    <w:rsid w:val="001E6ACC"/>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742"/>
    <w:rsid w:val="00247BE0"/>
    <w:rsid w:val="00247F52"/>
    <w:rsid w:val="00250888"/>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0EDA"/>
    <w:rsid w:val="002B1966"/>
    <w:rsid w:val="002B4508"/>
    <w:rsid w:val="002B53EB"/>
    <w:rsid w:val="002B5779"/>
    <w:rsid w:val="002B686C"/>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E684C"/>
    <w:rsid w:val="002F30E0"/>
    <w:rsid w:val="002F35E4"/>
    <w:rsid w:val="002F3730"/>
    <w:rsid w:val="002F38E1"/>
    <w:rsid w:val="002F472E"/>
    <w:rsid w:val="002F7AF6"/>
    <w:rsid w:val="00300E63"/>
    <w:rsid w:val="00302F5F"/>
    <w:rsid w:val="0030441D"/>
    <w:rsid w:val="00306063"/>
    <w:rsid w:val="00313B85"/>
    <w:rsid w:val="00314494"/>
    <w:rsid w:val="00317988"/>
    <w:rsid w:val="003221B4"/>
    <w:rsid w:val="0032258D"/>
    <w:rsid w:val="003228CB"/>
    <w:rsid w:val="00322E62"/>
    <w:rsid w:val="00324D13"/>
    <w:rsid w:val="00324EDD"/>
    <w:rsid w:val="00330EFD"/>
    <w:rsid w:val="003331E4"/>
    <w:rsid w:val="003356F0"/>
    <w:rsid w:val="00336C64"/>
    <w:rsid w:val="00337162"/>
    <w:rsid w:val="0034194F"/>
    <w:rsid w:val="00344605"/>
    <w:rsid w:val="00346D61"/>
    <w:rsid w:val="003474AA"/>
    <w:rsid w:val="00350D1D"/>
    <w:rsid w:val="00352C83"/>
    <w:rsid w:val="003615D2"/>
    <w:rsid w:val="0036429C"/>
    <w:rsid w:val="00364A53"/>
    <w:rsid w:val="003654CB"/>
    <w:rsid w:val="00365AA9"/>
    <w:rsid w:val="00365F86"/>
    <w:rsid w:val="00365F87"/>
    <w:rsid w:val="00366E89"/>
    <w:rsid w:val="003705F4"/>
    <w:rsid w:val="00370C2B"/>
    <w:rsid w:val="00370D58"/>
    <w:rsid w:val="00371316"/>
    <w:rsid w:val="00376713"/>
    <w:rsid w:val="00381815"/>
    <w:rsid w:val="003819AF"/>
    <w:rsid w:val="003820E9"/>
    <w:rsid w:val="00382DE7"/>
    <w:rsid w:val="00384FFC"/>
    <w:rsid w:val="00386208"/>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E3F"/>
    <w:rsid w:val="003C5A43"/>
    <w:rsid w:val="003D0519"/>
    <w:rsid w:val="003D0FF6"/>
    <w:rsid w:val="003D262C"/>
    <w:rsid w:val="003D6D61"/>
    <w:rsid w:val="003D6ECD"/>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696B"/>
    <w:rsid w:val="00432DAA"/>
    <w:rsid w:val="00434305"/>
    <w:rsid w:val="00435DF7"/>
    <w:rsid w:val="00436CF8"/>
    <w:rsid w:val="004405B0"/>
    <w:rsid w:val="0044083F"/>
    <w:rsid w:val="00441AE7"/>
    <w:rsid w:val="00445574"/>
    <w:rsid w:val="004467FB"/>
    <w:rsid w:val="00452D6B"/>
    <w:rsid w:val="00454484"/>
    <w:rsid w:val="0045517B"/>
    <w:rsid w:val="0045521F"/>
    <w:rsid w:val="00463B77"/>
    <w:rsid w:val="00463C7B"/>
    <w:rsid w:val="004644A6"/>
    <w:rsid w:val="004659BD"/>
    <w:rsid w:val="00470775"/>
    <w:rsid w:val="004746B1"/>
    <w:rsid w:val="0047583F"/>
    <w:rsid w:val="00475DE8"/>
    <w:rsid w:val="00481C44"/>
    <w:rsid w:val="00484936"/>
    <w:rsid w:val="00485C89"/>
    <w:rsid w:val="00486BE3"/>
    <w:rsid w:val="00490550"/>
    <w:rsid w:val="004905E4"/>
    <w:rsid w:val="00490A89"/>
    <w:rsid w:val="00490AB4"/>
    <w:rsid w:val="00492F02"/>
    <w:rsid w:val="004939AE"/>
    <w:rsid w:val="00497EDA"/>
    <w:rsid w:val="004A12DF"/>
    <w:rsid w:val="004A1BA8"/>
    <w:rsid w:val="004A4B57"/>
    <w:rsid w:val="004A63FA"/>
    <w:rsid w:val="004B0272"/>
    <w:rsid w:val="004B2383"/>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403"/>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5167"/>
    <w:rsid w:val="004F6456"/>
    <w:rsid w:val="004F696E"/>
    <w:rsid w:val="004F6C71"/>
    <w:rsid w:val="00501139"/>
    <w:rsid w:val="0050207C"/>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7D6"/>
    <w:rsid w:val="005479DA"/>
    <w:rsid w:val="00547BCC"/>
    <w:rsid w:val="0055013B"/>
    <w:rsid w:val="00551F6F"/>
    <w:rsid w:val="00555044"/>
    <w:rsid w:val="00560391"/>
    <w:rsid w:val="005608D5"/>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612A"/>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0F3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B41"/>
    <w:rsid w:val="00651ACB"/>
    <w:rsid w:val="00651C47"/>
    <w:rsid w:val="00652AB2"/>
    <w:rsid w:val="00653FED"/>
    <w:rsid w:val="00654EC0"/>
    <w:rsid w:val="0065525B"/>
    <w:rsid w:val="00655D4F"/>
    <w:rsid w:val="00656D29"/>
    <w:rsid w:val="00663E96"/>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48"/>
    <w:rsid w:val="006B5F90"/>
    <w:rsid w:val="006B62E4"/>
    <w:rsid w:val="006C1BBA"/>
    <w:rsid w:val="006C2079"/>
    <w:rsid w:val="006C469B"/>
    <w:rsid w:val="006C5A62"/>
    <w:rsid w:val="006C5D68"/>
    <w:rsid w:val="006C6976"/>
    <w:rsid w:val="006C6DD0"/>
    <w:rsid w:val="006D0247"/>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5F1D"/>
    <w:rsid w:val="0074674A"/>
    <w:rsid w:val="00746800"/>
    <w:rsid w:val="007501A8"/>
    <w:rsid w:val="00750D61"/>
    <w:rsid w:val="00750EE1"/>
    <w:rsid w:val="00752B4D"/>
    <w:rsid w:val="00755402"/>
    <w:rsid w:val="00756B26"/>
    <w:rsid w:val="00756EDF"/>
    <w:rsid w:val="007574D7"/>
    <w:rsid w:val="007600E3"/>
    <w:rsid w:val="00765C43"/>
    <w:rsid w:val="00765EFB"/>
    <w:rsid w:val="007671CA"/>
    <w:rsid w:val="00767C61"/>
    <w:rsid w:val="0077008A"/>
    <w:rsid w:val="00770DC0"/>
    <w:rsid w:val="00772A12"/>
    <w:rsid w:val="00773C1F"/>
    <w:rsid w:val="00774DA4"/>
    <w:rsid w:val="00776599"/>
    <w:rsid w:val="0078114B"/>
    <w:rsid w:val="00781DD2"/>
    <w:rsid w:val="00783ECF"/>
    <w:rsid w:val="0078413A"/>
    <w:rsid w:val="0078463D"/>
    <w:rsid w:val="007959E8"/>
    <w:rsid w:val="00795E9C"/>
    <w:rsid w:val="007A0521"/>
    <w:rsid w:val="007A2E12"/>
    <w:rsid w:val="007A3475"/>
    <w:rsid w:val="007A41C8"/>
    <w:rsid w:val="007A54CE"/>
    <w:rsid w:val="007A6FD9"/>
    <w:rsid w:val="007A7FFA"/>
    <w:rsid w:val="007B04EB"/>
    <w:rsid w:val="007B0D4F"/>
    <w:rsid w:val="007B4099"/>
    <w:rsid w:val="007B5A3D"/>
    <w:rsid w:val="007B5B95"/>
    <w:rsid w:val="007B68EA"/>
    <w:rsid w:val="007B7453"/>
    <w:rsid w:val="007C2D89"/>
    <w:rsid w:val="007C2F9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3F6A"/>
    <w:rsid w:val="008440D3"/>
    <w:rsid w:val="008454F8"/>
    <w:rsid w:val="0085173A"/>
    <w:rsid w:val="00857630"/>
    <w:rsid w:val="008603CE"/>
    <w:rsid w:val="008619DB"/>
    <w:rsid w:val="008620FC"/>
    <w:rsid w:val="008627A5"/>
    <w:rsid w:val="00863E05"/>
    <w:rsid w:val="008655C4"/>
    <w:rsid w:val="00865ACA"/>
    <w:rsid w:val="00865D28"/>
    <w:rsid w:val="00865F85"/>
    <w:rsid w:val="00867C10"/>
    <w:rsid w:val="00870439"/>
    <w:rsid w:val="00870DA1"/>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61B3"/>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155C"/>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4CF7"/>
    <w:rsid w:val="00945180"/>
    <w:rsid w:val="00945428"/>
    <w:rsid w:val="0094607B"/>
    <w:rsid w:val="00953604"/>
    <w:rsid w:val="0095496B"/>
    <w:rsid w:val="009610DC"/>
    <w:rsid w:val="00961490"/>
    <w:rsid w:val="0096381A"/>
    <w:rsid w:val="00965E04"/>
    <w:rsid w:val="009674AD"/>
    <w:rsid w:val="00970CDC"/>
    <w:rsid w:val="00975727"/>
    <w:rsid w:val="00977010"/>
    <w:rsid w:val="00977D02"/>
    <w:rsid w:val="009809BB"/>
    <w:rsid w:val="0098364B"/>
    <w:rsid w:val="00985C28"/>
    <w:rsid w:val="009877FD"/>
    <w:rsid w:val="00990F67"/>
    <w:rsid w:val="009911AF"/>
    <w:rsid w:val="00991875"/>
    <w:rsid w:val="00991B25"/>
    <w:rsid w:val="00991F92"/>
    <w:rsid w:val="00992985"/>
    <w:rsid w:val="00993889"/>
    <w:rsid w:val="00994523"/>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4FEE"/>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5A2D"/>
    <w:rsid w:val="009E5AB2"/>
    <w:rsid w:val="009E6219"/>
    <w:rsid w:val="009F03B3"/>
    <w:rsid w:val="009F2505"/>
    <w:rsid w:val="009F541E"/>
    <w:rsid w:val="00A0096C"/>
    <w:rsid w:val="00A01757"/>
    <w:rsid w:val="00A028C0"/>
    <w:rsid w:val="00A02BAE"/>
    <w:rsid w:val="00A06A6B"/>
    <w:rsid w:val="00A07A8E"/>
    <w:rsid w:val="00A07E47"/>
    <w:rsid w:val="00A129D0"/>
    <w:rsid w:val="00A12C33"/>
    <w:rsid w:val="00A138BA"/>
    <w:rsid w:val="00A14C87"/>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044"/>
    <w:rsid w:val="00A55BD6"/>
    <w:rsid w:val="00A55D50"/>
    <w:rsid w:val="00A57142"/>
    <w:rsid w:val="00A648CD"/>
    <w:rsid w:val="00A64F5E"/>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A7497"/>
    <w:rsid w:val="00AB324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69C"/>
    <w:rsid w:val="00AE37E5"/>
    <w:rsid w:val="00AE5EB4"/>
    <w:rsid w:val="00AF0C18"/>
    <w:rsid w:val="00AF47C5"/>
    <w:rsid w:val="00AF5398"/>
    <w:rsid w:val="00B020E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E55"/>
    <w:rsid w:val="00B60ACF"/>
    <w:rsid w:val="00B62B58"/>
    <w:rsid w:val="00B65149"/>
    <w:rsid w:val="00B66567"/>
    <w:rsid w:val="00B66F52"/>
    <w:rsid w:val="00B66FE5"/>
    <w:rsid w:val="00B72880"/>
    <w:rsid w:val="00B758BF"/>
    <w:rsid w:val="00B77EC8"/>
    <w:rsid w:val="00B827A6"/>
    <w:rsid w:val="00B831CE"/>
    <w:rsid w:val="00B84A10"/>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30B8"/>
    <w:rsid w:val="00BE5B52"/>
    <w:rsid w:val="00BE7B8D"/>
    <w:rsid w:val="00BF0993"/>
    <w:rsid w:val="00BF10A9"/>
    <w:rsid w:val="00BF1703"/>
    <w:rsid w:val="00BF231C"/>
    <w:rsid w:val="00BF51E5"/>
    <w:rsid w:val="00BF74A6"/>
    <w:rsid w:val="00C013AD"/>
    <w:rsid w:val="00C01F97"/>
    <w:rsid w:val="00C04904"/>
    <w:rsid w:val="00C04C52"/>
    <w:rsid w:val="00C056B3"/>
    <w:rsid w:val="00C103E5"/>
    <w:rsid w:val="00C1144C"/>
    <w:rsid w:val="00C13319"/>
    <w:rsid w:val="00C13EE9"/>
    <w:rsid w:val="00C21540"/>
    <w:rsid w:val="00C21906"/>
    <w:rsid w:val="00C21BFA"/>
    <w:rsid w:val="00C24C8D"/>
    <w:rsid w:val="00C25D3B"/>
    <w:rsid w:val="00C25FE2"/>
    <w:rsid w:val="00C26B53"/>
    <w:rsid w:val="00C279B2"/>
    <w:rsid w:val="00C33E50"/>
    <w:rsid w:val="00C34C20"/>
    <w:rsid w:val="00C35A3E"/>
    <w:rsid w:val="00C42130"/>
    <w:rsid w:val="00C423A4"/>
    <w:rsid w:val="00C44BF5"/>
    <w:rsid w:val="00C466D8"/>
    <w:rsid w:val="00C521D6"/>
    <w:rsid w:val="00C55232"/>
    <w:rsid w:val="00C553A4"/>
    <w:rsid w:val="00C55A06"/>
    <w:rsid w:val="00C55D03"/>
    <w:rsid w:val="00C601BC"/>
    <w:rsid w:val="00C60A3C"/>
    <w:rsid w:val="00C6329F"/>
    <w:rsid w:val="00C63340"/>
    <w:rsid w:val="00C643F9"/>
    <w:rsid w:val="00C64E1B"/>
    <w:rsid w:val="00C64E95"/>
    <w:rsid w:val="00C71372"/>
    <w:rsid w:val="00C72410"/>
    <w:rsid w:val="00C7287F"/>
    <w:rsid w:val="00C80CB8"/>
    <w:rsid w:val="00C819F8"/>
    <w:rsid w:val="00C8248C"/>
    <w:rsid w:val="00C84E33"/>
    <w:rsid w:val="00C86D6F"/>
    <w:rsid w:val="00C905FC"/>
    <w:rsid w:val="00C90C1B"/>
    <w:rsid w:val="00C92D03"/>
    <w:rsid w:val="00C9319C"/>
    <w:rsid w:val="00C9435D"/>
    <w:rsid w:val="00C94DF2"/>
    <w:rsid w:val="00C96741"/>
    <w:rsid w:val="00CA2D1B"/>
    <w:rsid w:val="00CA375D"/>
    <w:rsid w:val="00CA3785"/>
    <w:rsid w:val="00CA662A"/>
    <w:rsid w:val="00CA7AFD"/>
    <w:rsid w:val="00CA7C3C"/>
    <w:rsid w:val="00CB0189"/>
    <w:rsid w:val="00CB0BA2"/>
    <w:rsid w:val="00CB1A42"/>
    <w:rsid w:val="00CB1B0C"/>
    <w:rsid w:val="00CB2C0B"/>
    <w:rsid w:val="00CB517D"/>
    <w:rsid w:val="00CC038D"/>
    <w:rsid w:val="00CC08DB"/>
    <w:rsid w:val="00CC3192"/>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215"/>
    <w:rsid w:val="00CE30EA"/>
    <w:rsid w:val="00CF048A"/>
    <w:rsid w:val="00CF155A"/>
    <w:rsid w:val="00CF2947"/>
    <w:rsid w:val="00CF686F"/>
    <w:rsid w:val="00CF6E60"/>
    <w:rsid w:val="00CF7BCA"/>
    <w:rsid w:val="00D008FD"/>
    <w:rsid w:val="00D0321C"/>
    <w:rsid w:val="00D035EC"/>
    <w:rsid w:val="00D05C99"/>
    <w:rsid w:val="00D06AB1"/>
    <w:rsid w:val="00D072ED"/>
    <w:rsid w:val="00D07A16"/>
    <w:rsid w:val="00D1067E"/>
    <w:rsid w:val="00D10F50"/>
    <w:rsid w:val="00D11272"/>
    <w:rsid w:val="00D126F5"/>
    <w:rsid w:val="00D1489E"/>
    <w:rsid w:val="00D20737"/>
    <w:rsid w:val="00D21E81"/>
    <w:rsid w:val="00D21F49"/>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25C3"/>
    <w:rsid w:val="00D607F7"/>
    <w:rsid w:val="00D66846"/>
    <w:rsid w:val="00D675FB"/>
    <w:rsid w:val="00D71F25"/>
    <w:rsid w:val="00D72A9C"/>
    <w:rsid w:val="00D77031"/>
    <w:rsid w:val="00D84941"/>
    <w:rsid w:val="00D84FA1"/>
    <w:rsid w:val="00D851F0"/>
    <w:rsid w:val="00D86DB7"/>
    <w:rsid w:val="00D926D0"/>
    <w:rsid w:val="00D92D86"/>
    <w:rsid w:val="00D93030"/>
    <w:rsid w:val="00D939E6"/>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2BAE"/>
    <w:rsid w:val="00DE2E1F"/>
    <w:rsid w:val="00DE6E81"/>
    <w:rsid w:val="00DE703F"/>
    <w:rsid w:val="00DE7595"/>
    <w:rsid w:val="00DF1961"/>
    <w:rsid w:val="00DF44DE"/>
    <w:rsid w:val="00E01138"/>
    <w:rsid w:val="00E02DFB"/>
    <w:rsid w:val="00E030F9"/>
    <w:rsid w:val="00E0311A"/>
    <w:rsid w:val="00E03138"/>
    <w:rsid w:val="00E051B6"/>
    <w:rsid w:val="00E06404"/>
    <w:rsid w:val="00E11A85"/>
    <w:rsid w:val="00E12495"/>
    <w:rsid w:val="00E15CCD"/>
    <w:rsid w:val="00E202EF"/>
    <w:rsid w:val="00E210B5"/>
    <w:rsid w:val="00E2552F"/>
    <w:rsid w:val="00E3137A"/>
    <w:rsid w:val="00E32CCF"/>
    <w:rsid w:val="00E34A98"/>
    <w:rsid w:val="00E34D05"/>
    <w:rsid w:val="00E35D1E"/>
    <w:rsid w:val="00E364F9"/>
    <w:rsid w:val="00E365FA"/>
    <w:rsid w:val="00E36789"/>
    <w:rsid w:val="00E37AE5"/>
    <w:rsid w:val="00E41086"/>
    <w:rsid w:val="00E44A83"/>
    <w:rsid w:val="00E4522A"/>
    <w:rsid w:val="00E502C1"/>
    <w:rsid w:val="00E502DD"/>
    <w:rsid w:val="00E50D3A"/>
    <w:rsid w:val="00E51387"/>
    <w:rsid w:val="00E51E68"/>
    <w:rsid w:val="00E52EFD"/>
    <w:rsid w:val="00E5408A"/>
    <w:rsid w:val="00E558C8"/>
    <w:rsid w:val="00E56800"/>
    <w:rsid w:val="00E60C63"/>
    <w:rsid w:val="00E62FF9"/>
    <w:rsid w:val="00E635D6"/>
    <w:rsid w:val="00E639BC"/>
    <w:rsid w:val="00E6453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2329"/>
    <w:rsid w:val="00EC2C59"/>
    <w:rsid w:val="00EC5359"/>
    <w:rsid w:val="00EC562A"/>
    <w:rsid w:val="00ED067A"/>
    <w:rsid w:val="00ED2B50"/>
    <w:rsid w:val="00EE0350"/>
    <w:rsid w:val="00EE0719"/>
    <w:rsid w:val="00EE0E80"/>
    <w:rsid w:val="00EE613F"/>
    <w:rsid w:val="00EE7295"/>
    <w:rsid w:val="00EE7869"/>
    <w:rsid w:val="00EF054A"/>
    <w:rsid w:val="00EF154E"/>
    <w:rsid w:val="00EF3235"/>
    <w:rsid w:val="00EF7E72"/>
    <w:rsid w:val="00F06D37"/>
    <w:rsid w:val="00F07B9D"/>
    <w:rsid w:val="00F11586"/>
    <w:rsid w:val="00F1183B"/>
    <w:rsid w:val="00F11C9F"/>
    <w:rsid w:val="00F12263"/>
    <w:rsid w:val="00F1409D"/>
    <w:rsid w:val="00F14214"/>
    <w:rsid w:val="00F157A9"/>
    <w:rsid w:val="00F209C6"/>
    <w:rsid w:val="00F25BB6"/>
    <w:rsid w:val="00F26B7E"/>
    <w:rsid w:val="00F27A3B"/>
    <w:rsid w:val="00F33817"/>
    <w:rsid w:val="00F420D5"/>
    <w:rsid w:val="00F451EA"/>
    <w:rsid w:val="00F45447"/>
    <w:rsid w:val="00F456C6"/>
    <w:rsid w:val="00F4577B"/>
    <w:rsid w:val="00F46496"/>
    <w:rsid w:val="00F474D0"/>
    <w:rsid w:val="00F50179"/>
    <w:rsid w:val="00F515EE"/>
    <w:rsid w:val="00F5577F"/>
    <w:rsid w:val="00F56511"/>
    <w:rsid w:val="00F56F1D"/>
    <w:rsid w:val="00F6194E"/>
    <w:rsid w:val="00F623AC"/>
    <w:rsid w:val="00F6412A"/>
    <w:rsid w:val="00F65893"/>
    <w:rsid w:val="00F66A4A"/>
    <w:rsid w:val="00F66A93"/>
    <w:rsid w:val="00F71E22"/>
    <w:rsid w:val="00F72142"/>
    <w:rsid w:val="00F72AE7"/>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926"/>
    <w:rsid w:val="00FD2A7C"/>
    <w:rsid w:val="00FD59EB"/>
    <w:rsid w:val="00FD7299"/>
    <w:rsid w:val="00FE1FBE"/>
    <w:rsid w:val="00FE3901"/>
    <w:rsid w:val="00FE39D3"/>
    <w:rsid w:val="00FE4BCE"/>
    <w:rsid w:val="00FE54AE"/>
    <w:rsid w:val="00FE576A"/>
    <w:rsid w:val="00FE5985"/>
    <w:rsid w:val="00FE7E79"/>
    <w:rsid w:val="00FF3E7D"/>
    <w:rsid w:val="00FF5AE1"/>
    <w:rsid w:val="00FF5B99"/>
    <w:rsid w:val="00FF730C"/>
    <w:rsid w:val="00FF73F4"/>
    <w:rsid w:val="00FF7CE4"/>
    <w:rsid w:val="00FF7E39"/>
    <w:rsid w:val="07AB13AE"/>
    <w:rsid w:val="0C064BB5"/>
    <w:rsid w:val="0E5A3491"/>
    <w:rsid w:val="0EAF2A15"/>
    <w:rsid w:val="0FDD306A"/>
    <w:rsid w:val="15510864"/>
    <w:rsid w:val="1A555440"/>
    <w:rsid w:val="1A5F061A"/>
    <w:rsid w:val="1AE43EB9"/>
    <w:rsid w:val="1B5B12DF"/>
    <w:rsid w:val="1E893E91"/>
    <w:rsid w:val="1F7A6981"/>
    <w:rsid w:val="207E6511"/>
    <w:rsid w:val="23983A20"/>
    <w:rsid w:val="23AA14DA"/>
    <w:rsid w:val="23AD790E"/>
    <w:rsid w:val="257302A1"/>
    <w:rsid w:val="2AB0164F"/>
    <w:rsid w:val="2F7013AD"/>
    <w:rsid w:val="304005F2"/>
    <w:rsid w:val="32166D38"/>
    <w:rsid w:val="327530BD"/>
    <w:rsid w:val="32866B73"/>
    <w:rsid w:val="332F0571"/>
    <w:rsid w:val="39273424"/>
    <w:rsid w:val="3AC37880"/>
    <w:rsid w:val="3E725142"/>
    <w:rsid w:val="3EF850B3"/>
    <w:rsid w:val="3FD526C5"/>
    <w:rsid w:val="4F0762C0"/>
    <w:rsid w:val="51525EE6"/>
    <w:rsid w:val="51ED5398"/>
    <w:rsid w:val="53AF3411"/>
    <w:rsid w:val="55841D62"/>
    <w:rsid w:val="580A4B79"/>
    <w:rsid w:val="5AAF7F51"/>
    <w:rsid w:val="5E0441E4"/>
    <w:rsid w:val="5F6B7317"/>
    <w:rsid w:val="600F2A1C"/>
    <w:rsid w:val="6211064A"/>
    <w:rsid w:val="637A3FCD"/>
    <w:rsid w:val="695157D0"/>
    <w:rsid w:val="6E121085"/>
    <w:rsid w:val="73FD0F6A"/>
    <w:rsid w:val="74A80B91"/>
    <w:rsid w:val="789A594C"/>
    <w:rsid w:val="795409C4"/>
    <w:rsid w:val="7B13019F"/>
    <w:rsid w:val="7D910439"/>
    <w:rsid w:val="7FAA5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8"/>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toc 8"/>
    <w:basedOn w:val="1"/>
    <w:next w:val="1"/>
    <w:autoRedefine/>
    <w:unhideWhenUsed/>
    <w:qFormat/>
    <w:uiPriority w:val="39"/>
    <w:pPr>
      <w:adjustRightInd/>
      <w:spacing w:after="160" w:line="278" w:lineRule="auto"/>
      <w:ind w:left="2940" w:leftChars="1400"/>
      <w:jc w:val="left"/>
    </w:pPr>
    <w:rPr>
      <w:rFonts w:asciiTheme="minorHAnsi" w:hAnsiTheme="minorHAnsi" w:eastAsiaTheme="minorEastAsia" w:cstheme="minorBidi"/>
      <w:sz w:val="22"/>
      <w:szCs w:val="24"/>
      <w14:ligatures w14:val="standardContextual"/>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oc 9"/>
    <w:basedOn w:val="1"/>
    <w:next w:val="1"/>
    <w:autoRedefine/>
    <w:unhideWhenUsed/>
    <w:qFormat/>
    <w:uiPriority w:val="39"/>
    <w:pPr>
      <w:adjustRightInd/>
      <w:spacing w:after="160" w:line="278" w:lineRule="auto"/>
      <w:ind w:left="3360" w:leftChars="1600"/>
      <w:jc w:val="left"/>
    </w:pPr>
    <w:rPr>
      <w:rFonts w:asciiTheme="minorHAnsi" w:hAnsiTheme="minorHAnsi" w:eastAsiaTheme="minorEastAsia" w:cstheme="minorBidi"/>
      <w:sz w:val="22"/>
      <w:szCs w:val="24"/>
      <w14:ligatures w14:val="standardContextual"/>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footnote reference"/>
    <w:autoRedefin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rFonts w:ascii="Times New Roman" w:hAnsi="Times New Roman" w:eastAsia="宋体" w:cs="Times New Roman"/>
      <w:b/>
      <w:bCs/>
      <w:kern w:val="44"/>
      <w:sz w:val="44"/>
      <w:szCs w:val="44"/>
    </w:rPr>
  </w:style>
  <w:style w:type="character" w:customStyle="1" w:styleId="37">
    <w:name w:val="标题 2 字符"/>
    <w:link w:val="3"/>
    <w:qFormat/>
    <w:uiPriority w:val="0"/>
    <w:rPr>
      <w:rFonts w:ascii="Arial" w:hAnsi="Arial" w:eastAsia="黑体" w:cs="Times New Roman"/>
      <w:b/>
      <w:bCs/>
      <w:sz w:val="32"/>
      <w:szCs w:val="32"/>
    </w:rPr>
  </w:style>
  <w:style w:type="character" w:customStyle="1" w:styleId="38">
    <w:name w:val="标题 3 字符"/>
    <w:link w:val="4"/>
    <w:qFormat/>
    <w:uiPriority w:val="0"/>
    <w:rPr>
      <w:rFonts w:ascii="Times New Roman" w:hAnsi="Times New Roman" w:eastAsia="宋体" w:cs="Times New Roman"/>
      <w:b/>
      <w:bCs/>
      <w:sz w:val="32"/>
      <w:szCs w:val="32"/>
    </w:rPr>
  </w:style>
  <w:style w:type="character" w:customStyle="1" w:styleId="39">
    <w:name w:val="标题 4 字符"/>
    <w:link w:val="5"/>
    <w:qFormat/>
    <w:uiPriority w:val="0"/>
    <w:rPr>
      <w:rFonts w:ascii="Arial" w:hAnsi="Arial" w:eastAsia="黑体" w:cs="Times New Roman"/>
      <w:b/>
      <w:bCs/>
      <w:sz w:val="28"/>
      <w:szCs w:val="28"/>
    </w:rPr>
  </w:style>
  <w:style w:type="character" w:customStyle="1" w:styleId="40">
    <w:name w:val="标题 5 字符"/>
    <w:link w:val="6"/>
    <w:qFormat/>
    <w:uiPriority w:val="0"/>
    <w:rPr>
      <w:rFonts w:ascii="Times New Roman" w:hAnsi="Times New Roman" w:eastAsia="宋体" w:cs="Times New Roman"/>
      <w:b/>
      <w:bCs/>
      <w:sz w:val="28"/>
      <w:szCs w:val="28"/>
    </w:rPr>
  </w:style>
  <w:style w:type="character" w:customStyle="1" w:styleId="41">
    <w:name w:val="标题 6 字符"/>
    <w:link w:val="7"/>
    <w:qFormat/>
    <w:uiPriority w:val="0"/>
    <w:rPr>
      <w:rFonts w:ascii="Arial" w:hAnsi="Arial" w:eastAsia="黑体" w:cs="Times New Roman"/>
      <w:b/>
      <w:bCs/>
      <w:sz w:val="24"/>
      <w:szCs w:val="24"/>
    </w:rPr>
  </w:style>
  <w:style w:type="character" w:customStyle="1" w:styleId="42">
    <w:name w:val="标题 7 字符"/>
    <w:link w:val="8"/>
    <w:qFormat/>
    <w:uiPriority w:val="0"/>
    <w:rPr>
      <w:rFonts w:ascii="Times New Roman" w:hAnsi="Times New Roman" w:eastAsia="宋体" w:cs="Times New Roman"/>
      <w:b/>
      <w:bCs/>
      <w:sz w:val="24"/>
      <w:szCs w:val="24"/>
    </w:rPr>
  </w:style>
  <w:style w:type="character" w:customStyle="1" w:styleId="43">
    <w:name w:val="标题 8 字符"/>
    <w:link w:val="9"/>
    <w:qFormat/>
    <w:uiPriority w:val="0"/>
    <w:rPr>
      <w:rFonts w:ascii="Arial" w:hAnsi="Arial" w:eastAsia="黑体" w:cs="Times New Roman"/>
      <w:sz w:val="24"/>
      <w:szCs w:val="24"/>
    </w:rPr>
  </w:style>
  <w:style w:type="character" w:customStyle="1" w:styleId="44">
    <w:name w:val="标题 9 字符"/>
    <w:link w:val="10"/>
    <w:qFormat/>
    <w:uiPriority w:val="0"/>
    <w:rPr>
      <w:rFonts w:ascii="Arial" w:hAnsi="Arial" w:eastAsia="黑体" w:cs="Times New Roman"/>
      <w:szCs w:val="21"/>
    </w:rPr>
  </w:style>
  <w:style w:type="character" w:customStyle="1" w:styleId="45">
    <w:name w:val="页眉 字符"/>
    <w:link w:val="19"/>
    <w:qFormat/>
    <w:uiPriority w:val="99"/>
    <w:rPr>
      <w:rFonts w:ascii="Times New Roman" w:hAnsi="Times New Roman" w:eastAsia="宋体" w:cs="Times New Roman"/>
      <w:sz w:val="18"/>
      <w:szCs w:val="18"/>
    </w:rPr>
  </w:style>
  <w:style w:type="character" w:customStyle="1" w:styleId="46">
    <w:name w:val="页脚 字符"/>
    <w:link w:val="18"/>
    <w:qFormat/>
    <w:uiPriority w:val="99"/>
    <w:rPr>
      <w:rFonts w:ascii="宋体" w:hAnsi="Times New Roman" w:eastAsia="宋体" w:cs="Times New Roman"/>
      <w:sz w:val="18"/>
      <w:szCs w:val="18"/>
    </w:rPr>
  </w:style>
  <w:style w:type="character" w:customStyle="1" w:styleId="47">
    <w:name w:val="批注框文本 字符"/>
    <w:link w:val="17"/>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rPr>
  </w:style>
  <w:style w:type="character" w:customStyle="1" w:styleId="50">
    <w:name w:val="标题 字符"/>
    <w:link w:val="27"/>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4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autoRedefine/>
    <w:qFormat/>
    <w:uiPriority w:val="0"/>
    <w:pPr>
      <w:numPr>
        <w:ilvl w:val="0"/>
        <w:numId w:val="3"/>
      </w:numPr>
      <w:ind w:firstLine="0" w:firstLineChars="0"/>
    </w:pPr>
  </w:style>
  <w:style w:type="paragraph" w:customStyle="1" w:styleId="70">
    <w:name w:val="标准文件_封面标准编号"/>
    <w:basedOn w:val="1"/>
    <w:next w:val="61"/>
    <w:autoRedefine/>
    <w:qFormat/>
    <w:uiPriority w:val="0"/>
    <w:pPr>
      <w:spacing w:line="310" w:lineRule="exact"/>
      <w:jc w:val="right"/>
    </w:pPr>
    <w:rPr>
      <w:rFonts w:ascii="黑体" w:eastAsia="黑体"/>
      <w:kern w:val="0"/>
      <w:sz w:val="28"/>
    </w:rPr>
  </w:style>
  <w:style w:type="paragraph" w:customStyle="1" w:styleId="71">
    <w:name w:val="标准文件_封面标准分类号"/>
    <w:basedOn w:val="1"/>
    <w:autoRedefine/>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autoRedefine/>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autoRedefine/>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autoRedefine/>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autoRedefine/>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autoRedefine/>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autoRedefine/>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autoRedefine/>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3"/>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autoRedefine/>
    <w:qFormat/>
    <w:uiPriority w:val="0"/>
    <w:pPr>
      <w:numPr>
        <w:ilvl w:val="0"/>
        <w:numId w:val="8"/>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pPr>
  </w:style>
  <w:style w:type="paragraph" w:customStyle="1" w:styleId="93">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ind w:left="0" w:firstLine="200"/>
    </w:pPr>
  </w:style>
  <w:style w:type="paragraph" w:customStyle="1" w:styleId="96">
    <w:name w:val="标准文件_三级条标题"/>
    <w:basedOn w:val="67"/>
    <w:next w:val="58"/>
    <w:autoRedefine/>
    <w:qFormat/>
    <w:uiPriority w:val="0"/>
    <w:pPr>
      <w:widowControl/>
      <w:numPr>
        <w:ilvl w:val="4"/>
      </w:numPr>
      <w:outlineLvl w:val="3"/>
    </w:pPr>
  </w:style>
  <w:style w:type="character" w:customStyle="1" w:styleId="97">
    <w:name w:val="不明显参考1"/>
    <w:autoRedefin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hAnsi="Times New Roman" w:eastAsia="宋体" w:cs="Times New Roman"/>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autoRedefine/>
    <w:qFormat/>
    <w:uiPriority w:val="0"/>
    <w:rPr>
      <w:rFonts w:ascii="宋体" w:hAnsi="宋体" w:eastAsia="宋体" w:cs="Times New Roman"/>
      <w:spacing w:val="0"/>
      <w:sz w:val="18"/>
      <w:vertAlign w:val="superscript"/>
    </w:rPr>
  </w:style>
  <w:style w:type="paragraph" w:customStyle="1" w:styleId="105">
    <w:name w:val="标准文件_五级条标题"/>
    <w:next w:val="58"/>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autoRedefine/>
    <w:qFormat/>
    <w:uiPriority w:val="0"/>
    <w:pPr>
      <w:numPr>
        <w:ilvl w:val="2"/>
      </w:numPr>
      <w:spacing w:before="50" w:beforeLines="50" w:after="50" w:afterLines="50"/>
      <w:outlineLvl w:val="1"/>
    </w:pPr>
  </w:style>
  <w:style w:type="paragraph" w:customStyle="1" w:styleId="108">
    <w:name w:val="标准文件_一致程度"/>
    <w:basedOn w:val="1"/>
    <w:autoRedefine/>
    <w:qFormat/>
    <w:uiPriority w:val="0"/>
    <w:pPr>
      <w:spacing w:line="440" w:lineRule="exact"/>
      <w:jc w:val="center"/>
    </w:pPr>
    <w:rPr>
      <w:sz w:val="28"/>
    </w:rPr>
  </w:style>
  <w:style w:type="paragraph" w:customStyle="1" w:styleId="109">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autoRedefine/>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autoRedefine/>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2">
    <w:name w:val="标准文件_英文注："/>
    <w:basedOn w:val="1"/>
    <w:next w:val="58"/>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autoRedefine/>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autoRedefine/>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autoRedefine/>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autoRedefine/>
    <w:qFormat/>
    <w:uiPriority w:val="0"/>
    <w:pPr>
      <w:outlineLvl w:val="4"/>
    </w:pPr>
  </w:style>
  <w:style w:type="paragraph" w:customStyle="1" w:styleId="132">
    <w:name w:val="附录四级无标题条"/>
    <w:basedOn w:val="131"/>
    <w:next w:val="58"/>
    <w:autoRedefine/>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next w:val="58"/>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paragraph" w:customStyle="1" w:styleId="232">
    <w:name w:val="段"/>
    <w:link w:val="23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3">
    <w:name w:val="段 Char"/>
    <w:link w:val="232"/>
    <w:qFormat/>
    <w:uiPriority w:val="0"/>
    <w:rPr>
      <w:rFonts w:ascii="宋体" w:hAnsi="Times New Roman"/>
      <w:sz w:val="21"/>
    </w:rPr>
  </w:style>
  <w:style w:type="paragraph" w:customStyle="1" w:styleId="234">
    <w:name w:val="列项——（一级）"/>
    <w:qFormat/>
    <w:uiPriority w:val="0"/>
    <w:pPr>
      <w:widowControl w:val="0"/>
      <w:ind w:left="833" w:hanging="408"/>
      <w:jc w:val="both"/>
    </w:pPr>
    <w:rPr>
      <w:rFonts w:ascii="宋体" w:hAnsi="Times New Roman" w:eastAsia="宋体" w:cs="Times New Roman"/>
      <w:sz w:val="21"/>
      <w:lang w:val="en-US" w:eastAsia="zh-CN" w:bidi="ar-SA"/>
    </w:rPr>
  </w:style>
  <w:style w:type="paragraph" w:customStyle="1" w:styleId="235">
    <w:name w:val="列项●（二级）"/>
    <w:qFormat/>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236">
    <w:name w:val="列项◆（三级）"/>
    <w:basedOn w:val="1"/>
    <w:qFormat/>
    <w:uiPriority w:val="0"/>
    <w:pPr>
      <w:tabs>
        <w:tab w:val="left" w:pos="1678"/>
      </w:tabs>
      <w:adjustRightInd/>
      <w:spacing w:line="240" w:lineRule="auto"/>
      <w:ind w:left="1678" w:hanging="414"/>
    </w:pPr>
    <w:rPr>
      <w:rFonts w:ascii="宋体" w:hAnsi="Times New Roman"/>
    </w:rPr>
  </w:style>
  <w:style w:type="paragraph" w:customStyle="1" w:styleId="237">
    <w:name w:val="一级条标题"/>
    <w:next w:val="232"/>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8">
    <w:name w:val="章标题"/>
    <w:next w:val="232"/>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9">
    <w:name w:val="二级条标题"/>
    <w:basedOn w:val="237"/>
    <w:next w:val="232"/>
    <w:qFormat/>
    <w:uiPriority w:val="0"/>
    <w:pPr>
      <w:numPr>
        <w:ilvl w:val="2"/>
      </w:numPr>
      <w:spacing w:before="50" w:after="50"/>
      <w:outlineLvl w:val="3"/>
    </w:pPr>
  </w:style>
  <w:style w:type="paragraph" w:customStyle="1" w:styleId="240">
    <w:name w:val="三级条标题"/>
    <w:basedOn w:val="239"/>
    <w:next w:val="232"/>
    <w:qFormat/>
    <w:uiPriority w:val="0"/>
    <w:pPr>
      <w:numPr>
        <w:ilvl w:val="3"/>
      </w:numPr>
      <w:outlineLvl w:val="4"/>
    </w:pPr>
  </w:style>
  <w:style w:type="paragraph" w:customStyle="1" w:styleId="241">
    <w:name w:val="数字编号列项（二级）"/>
    <w:qFormat/>
    <w:uiPriority w:val="0"/>
    <w:pPr>
      <w:numPr>
        <w:ilvl w:val="1"/>
        <w:numId w:val="33"/>
      </w:numPr>
      <w:jc w:val="both"/>
    </w:pPr>
    <w:rPr>
      <w:rFonts w:ascii="宋体" w:hAnsi="Times New Roman" w:eastAsia="宋体" w:cs="Times New Roman"/>
      <w:sz w:val="21"/>
      <w:lang w:val="en-US" w:eastAsia="zh-CN" w:bidi="ar-SA"/>
    </w:rPr>
  </w:style>
  <w:style w:type="paragraph" w:customStyle="1" w:styleId="242">
    <w:name w:val="四级条标题"/>
    <w:basedOn w:val="240"/>
    <w:next w:val="232"/>
    <w:qFormat/>
    <w:uiPriority w:val="0"/>
    <w:pPr>
      <w:numPr>
        <w:ilvl w:val="4"/>
      </w:numPr>
      <w:outlineLvl w:val="5"/>
    </w:pPr>
  </w:style>
  <w:style w:type="paragraph" w:customStyle="1" w:styleId="243">
    <w:name w:val="五级条标题"/>
    <w:basedOn w:val="242"/>
    <w:next w:val="232"/>
    <w:qFormat/>
    <w:uiPriority w:val="0"/>
    <w:pPr>
      <w:numPr>
        <w:ilvl w:val="5"/>
      </w:numPr>
      <w:outlineLvl w:val="6"/>
    </w:pPr>
  </w:style>
  <w:style w:type="paragraph" w:customStyle="1" w:styleId="244">
    <w:name w:val="注："/>
    <w:next w:val="232"/>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45">
    <w:name w:val="字母编号列项（一级）"/>
    <w:qFormat/>
    <w:uiPriority w:val="0"/>
    <w:pPr>
      <w:numPr>
        <w:ilvl w:val="0"/>
        <w:numId w:val="33"/>
      </w:numPr>
      <w:jc w:val="both"/>
    </w:pPr>
    <w:rPr>
      <w:rFonts w:ascii="宋体" w:hAnsi="Times New Roman" w:eastAsia="宋体" w:cs="Times New Roman"/>
      <w:sz w:val="21"/>
      <w:lang w:val="en-US" w:eastAsia="zh-CN" w:bidi="ar-SA"/>
    </w:rPr>
  </w:style>
  <w:style w:type="paragraph" w:customStyle="1" w:styleId="246">
    <w:name w:val="编号列项（三级）"/>
    <w:qFormat/>
    <w:uiPriority w:val="0"/>
    <w:pPr>
      <w:numPr>
        <w:ilvl w:val="2"/>
        <w:numId w:val="33"/>
      </w:numPr>
    </w:pPr>
    <w:rPr>
      <w:rFonts w:ascii="宋体" w:hAnsi="Times New Roman" w:eastAsia="宋体" w:cs="Times New Roman"/>
      <w:sz w:val="21"/>
      <w:lang w:val="en-US" w:eastAsia="zh-CN" w:bidi="ar-SA"/>
    </w:rPr>
  </w:style>
  <w:style w:type="paragraph" w:customStyle="1" w:styleId="247">
    <w:name w:val="二级无"/>
    <w:basedOn w:val="239"/>
    <w:qFormat/>
    <w:uiPriority w:val="0"/>
    <w:pPr>
      <w:spacing w:before="0" w:beforeLines="0" w:after="0" w:afterLines="0"/>
    </w:pPr>
    <w:rPr>
      <w:rFonts w:ascii="宋体" w:eastAsia="宋体"/>
    </w:rPr>
  </w:style>
  <w:style w:type="paragraph" w:customStyle="1" w:styleId="248">
    <w:name w:val="正文公式编号制表符"/>
    <w:basedOn w:val="232"/>
    <w:next w:val="232"/>
    <w:qFormat/>
    <w:uiPriority w:val="0"/>
    <w:pPr>
      <w:ind w:firstLine="0" w:firstLineChars="0"/>
    </w:pPr>
  </w:style>
  <w:style w:type="paragraph" w:customStyle="1" w:styleId="249">
    <w:name w:val="正文图标题"/>
    <w:next w:val="232"/>
    <w:qFormat/>
    <w:uiPriority w:val="0"/>
    <w:p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styleId="250">
    <w:name w:val="List Paragraph"/>
    <w:basedOn w:val="1"/>
    <w:unhideWhenUsed/>
    <w:qFormat/>
    <w:uiPriority w:val="99"/>
    <w:pPr>
      <w:ind w:firstLine="420" w:firstLineChars="200"/>
    </w:pPr>
  </w:style>
  <w:style w:type="character" w:customStyle="1" w:styleId="251">
    <w:name w:val="Unresolved Mention"/>
    <w:basedOn w:val="3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7BB669AC7EB41A7958D33237211E0DE"/>
        <w:style w:val=""/>
        <w:category>
          <w:name w:val="常规"/>
          <w:gallery w:val="placeholder"/>
        </w:category>
        <w:types>
          <w:type w:val="bbPlcHdr"/>
        </w:types>
        <w:behaviors>
          <w:behavior w:val="content"/>
        </w:behaviors>
        <w:description w:val=""/>
        <w:guid w:val="{F2C9CEA9-2CE6-4D11-8D12-CD6C1ED34058}"/>
      </w:docPartPr>
      <w:docPartBody>
        <w:p w14:paraId="7EDD6054">
          <w:pPr>
            <w:pStyle w:val="5"/>
            <w:rPr>
              <w:rFonts w:hint="eastAsia"/>
            </w:rPr>
          </w:pPr>
          <w:r>
            <w:rPr>
              <w:rStyle w:val="4"/>
              <w:rFonts w:hint="eastAsia"/>
            </w:rPr>
            <w:t>单击或点击此处输入文字。</w:t>
          </w:r>
        </w:p>
      </w:docPartBody>
    </w:docPart>
    <w:docPart>
      <w:docPartPr>
        <w:name w:val="A4CAB75A1AEE4F6C8746EC2417C153BB"/>
        <w:style w:val=""/>
        <w:category>
          <w:name w:val="常规"/>
          <w:gallery w:val="placeholder"/>
        </w:category>
        <w:types>
          <w:type w:val="bbPlcHdr"/>
        </w:types>
        <w:behaviors>
          <w:behavior w:val="content"/>
        </w:behaviors>
        <w:description w:val=""/>
        <w:guid w:val="{7601AC2F-77C8-44F3-92A6-CAEB34501422}"/>
      </w:docPartPr>
      <w:docPartBody>
        <w:p w14:paraId="7D3035B4">
          <w:pPr>
            <w:pStyle w:val="6"/>
            <w:rPr>
              <w:rFonts w:hint="eastAsia"/>
            </w:rPr>
          </w:pPr>
          <w:r>
            <w:rPr>
              <w:rStyle w:val="4"/>
              <w:rFonts w:hint="eastAsia"/>
            </w:rPr>
            <w:t>选择一项。</w:t>
          </w:r>
        </w:p>
      </w:docPartBody>
    </w:docPart>
    <w:docPart>
      <w:docPartPr>
        <w:name w:val="116B6AA7654743B29DE5CDC2875CE1C5"/>
        <w:style w:val=""/>
        <w:category>
          <w:name w:val="常规"/>
          <w:gallery w:val="placeholder"/>
        </w:category>
        <w:types>
          <w:type w:val="bbPlcHdr"/>
        </w:types>
        <w:behaviors>
          <w:behavior w:val="content"/>
        </w:behaviors>
        <w:description w:val=""/>
        <w:guid w:val="{DD1297B8-10BF-498C-A05D-D5254D28CC9D}"/>
      </w:docPartPr>
      <w:docPartBody>
        <w:p w14:paraId="469B62C0">
          <w:pPr>
            <w:pStyle w:val="7"/>
            <w:rPr>
              <w:rFonts w:hint="eastAsia"/>
            </w:rPr>
          </w:pPr>
          <w:r>
            <w:rPr>
              <w:rStyle w:val="4"/>
              <w:rFonts w:hint="eastAsia"/>
            </w:rPr>
            <w:t>选择一项。</w:t>
          </w:r>
        </w:p>
      </w:docPartBody>
    </w:docPart>
    <w:docPart>
      <w:docPartPr>
        <w:name w:val="1990EA9A29494C55BBC429BEEDF8D1F6"/>
        <w:style w:val=""/>
        <w:category>
          <w:name w:val="常规"/>
          <w:gallery w:val="placeholder"/>
        </w:category>
        <w:types>
          <w:type w:val="bbPlcHdr"/>
        </w:types>
        <w:behaviors>
          <w:behavior w:val="content"/>
        </w:behaviors>
        <w:description w:val=""/>
        <w:guid w:val="{E705B570-B015-4738-99A8-26BC63CD4DD1}"/>
      </w:docPartPr>
      <w:docPartBody>
        <w:p w14:paraId="06530BB6">
          <w:pPr>
            <w:pStyle w:val="8"/>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2D4"/>
    <w:rsid w:val="00085A6D"/>
    <w:rsid w:val="0018677D"/>
    <w:rsid w:val="002660D1"/>
    <w:rsid w:val="00403E61"/>
    <w:rsid w:val="005A7ACA"/>
    <w:rsid w:val="005B005B"/>
    <w:rsid w:val="00862F52"/>
    <w:rsid w:val="00892E8B"/>
    <w:rsid w:val="008B5458"/>
    <w:rsid w:val="00914BAA"/>
    <w:rsid w:val="00943449"/>
    <w:rsid w:val="009E581D"/>
    <w:rsid w:val="00AA7731"/>
    <w:rsid w:val="00B4522D"/>
    <w:rsid w:val="00C07AC8"/>
    <w:rsid w:val="00C1029A"/>
    <w:rsid w:val="00D463B0"/>
    <w:rsid w:val="00DB0141"/>
    <w:rsid w:val="00DE2BAE"/>
    <w:rsid w:val="00E532D4"/>
    <w:rsid w:val="00F64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7BB669AC7EB41A7958D33237211E0D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4CAB75A1AEE4F6C8746EC2417C153B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16B6AA7654743B29DE5CDC2875CE1C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1990EA9A29494C55BBC429BEEDF8D1F6"/>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0DB6D4-A517-41FA-9C26-9A2C2048670A}">
  <ds:schemaRefs/>
</ds:datastoreItem>
</file>

<file path=docProps/app.xml><?xml version="1.0" encoding="utf-8"?>
<Properties xmlns="http://schemas.openxmlformats.org/officeDocument/2006/extended-properties" xmlns:vt="http://schemas.openxmlformats.org/officeDocument/2006/docPropsVTypes">
  <Template>企业标准.dotx</Template>
  <Company>PCMI</Company>
  <Pages>23</Pages>
  <Words>8269</Words>
  <Characters>9249</Characters>
  <Lines>149</Lines>
  <Paragraphs>42</Paragraphs>
  <TotalTime>33</TotalTime>
  <ScaleCrop>false</ScaleCrop>
  <LinksUpToDate>false</LinksUpToDate>
  <CharactersWithSpaces>9502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2023-02-08T02:34:00Z</dcterms:created>
  <dc:creator>lenovo</dc:creator>
  <dc:description>&lt;config cover="true" show_menu="true" version="1.0.0" doctype="SDKXY"&gt;_x000d_
&lt;/config&gt;</dc:description>
  <cp:lastModifiedBy>La solitudine</cp:lastModifiedBy>
  <cp:lastPrinted>2020-08-30T10:00:00Z</cp:lastPrinted>
  <dcterms:modified xsi:type="dcterms:W3CDTF">2026-07-13T07:15:59Z</dcterms:modified>
  <dc:title>企业标准</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2052-12.1.0.25225</vt:lpwstr>
  </property>
  <property fmtid="{D5CDD505-2E9C-101B-9397-08002B2CF9AE}" pid="16" name="ICV">
    <vt:lpwstr>908384E706944485A6397D36488CF58D_12</vt:lpwstr>
  </property>
  <property fmtid="{D5CDD505-2E9C-101B-9397-08002B2CF9AE}" pid="17" name="KSOTemplateDocerSaveRecord">
    <vt:lpwstr>eyJoZGlkIjoiOGJjNWNjZjhhZmY1M2U4ZmMxNzZmNGNmMjQwNjFiNjIiLCJ1c2VySWQiOiI0NjE0NTI2MDMifQ==</vt:lpwstr>
  </property>
</Properties>
</file>